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C0BCF" w14:textId="77777777" w:rsidR="00E348F1" w:rsidRDefault="00E348F1" w:rsidP="00E348F1">
      <w:pPr>
        <w:jc w:val="center"/>
        <w:rPr>
          <w:b/>
          <w:bCs/>
          <w:szCs w:val="26"/>
          <w:rtl/>
        </w:rPr>
      </w:pPr>
    </w:p>
    <w:tbl>
      <w:tblPr>
        <w:tblpPr w:leftFromText="180" w:rightFromText="180" w:vertAnchor="page" w:horzAnchor="margin" w:tblpXSpec="center" w:tblpY="1021"/>
        <w:bidiVisual/>
        <w:tblW w:w="8520" w:type="dxa"/>
        <w:tblLayout w:type="fixed"/>
        <w:tblLook w:val="0000" w:firstRow="0" w:lastRow="0" w:firstColumn="0" w:lastColumn="0" w:noHBand="0" w:noVBand="0"/>
      </w:tblPr>
      <w:tblGrid>
        <w:gridCol w:w="2840"/>
        <w:gridCol w:w="2596"/>
        <w:gridCol w:w="3084"/>
      </w:tblGrid>
      <w:tr w:rsidR="00E348F1" w:rsidRPr="00E348F1" w14:paraId="30DBE1DC" w14:textId="77777777" w:rsidTr="008272A7">
        <w:tc>
          <w:tcPr>
            <w:tcW w:w="2840" w:type="dxa"/>
            <w:tcBorders>
              <w:top w:val="nil"/>
              <w:left w:val="nil"/>
              <w:bottom w:val="nil"/>
              <w:right w:val="nil"/>
            </w:tcBorders>
            <w:vAlign w:val="center"/>
          </w:tcPr>
          <w:p w14:paraId="661DE0A9" w14:textId="77777777" w:rsidR="00E348F1" w:rsidRPr="00E348F1" w:rsidRDefault="00E348F1" w:rsidP="008272A7">
            <w:pPr>
              <w:jc w:val="center"/>
              <w:rPr>
                <w:rFonts w:ascii="David" w:hAnsi="David" w:cs="David"/>
                <w:b/>
                <w:bCs/>
                <w:sz w:val="24"/>
                <w:szCs w:val="24"/>
              </w:rPr>
            </w:pPr>
            <w:r w:rsidRPr="00E348F1">
              <w:rPr>
                <w:rFonts w:ascii="David" w:hAnsi="David" w:cs="David"/>
                <w:b/>
                <w:bCs/>
                <w:sz w:val="24"/>
                <w:szCs w:val="24"/>
                <w:rtl/>
              </w:rPr>
              <w:t>בנק ישראל</w:t>
            </w:r>
          </w:p>
          <w:p w14:paraId="234092C8" w14:textId="77777777" w:rsidR="00E348F1" w:rsidRPr="00E348F1" w:rsidRDefault="00E348F1" w:rsidP="008272A7">
            <w:pPr>
              <w:ind w:right="-101"/>
              <w:jc w:val="center"/>
              <w:rPr>
                <w:rFonts w:ascii="David" w:hAnsi="David" w:cs="David"/>
              </w:rPr>
            </w:pPr>
            <w:r w:rsidRPr="00E348F1">
              <w:rPr>
                <w:rFonts w:ascii="David" w:hAnsi="David" w:cs="David"/>
                <w:sz w:val="24"/>
                <w:szCs w:val="24"/>
                <w:rtl/>
              </w:rPr>
              <w:t>דוברות והסברה כלכלית</w:t>
            </w:r>
          </w:p>
        </w:tc>
        <w:tc>
          <w:tcPr>
            <w:tcW w:w="2596" w:type="dxa"/>
            <w:tcBorders>
              <w:top w:val="nil"/>
              <w:left w:val="nil"/>
              <w:bottom w:val="nil"/>
              <w:right w:val="nil"/>
            </w:tcBorders>
          </w:tcPr>
          <w:p w14:paraId="7F4BBEE5" w14:textId="77777777" w:rsidR="00E348F1" w:rsidRPr="00E348F1" w:rsidRDefault="00E348F1" w:rsidP="008272A7">
            <w:pPr>
              <w:jc w:val="center"/>
              <w:rPr>
                <w:rFonts w:ascii="David" w:hAnsi="David" w:cs="David"/>
              </w:rPr>
            </w:pPr>
            <w:r w:rsidRPr="00E348F1">
              <w:rPr>
                <w:rFonts w:ascii="David" w:hAnsi="David" w:cs="David"/>
                <w:noProof/>
              </w:rPr>
              <w:drawing>
                <wp:inline distT="0" distB="0" distL="0" distR="0" wp14:anchorId="41EAE71B" wp14:editId="6BB0C64E">
                  <wp:extent cx="882919" cy="882919"/>
                  <wp:effectExtent l="0" t="0" r="0" b="0"/>
                  <wp:docPr id="6" name="תמונה 1" descr="לוגו בנק ישראל" title="לוגו בנק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לוגו בנק ישראל" title="לוגו בנק ישראל"/>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inline>
              </w:drawing>
            </w:r>
          </w:p>
        </w:tc>
        <w:tc>
          <w:tcPr>
            <w:tcW w:w="3084" w:type="dxa"/>
            <w:tcBorders>
              <w:top w:val="nil"/>
              <w:left w:val="nil"/>
              <w:bottom w:val="nil"/>
              <w:right w:val="nil"/>
            </w:tcBorders>
            <w:vAlign w:val="center"/>
          </w:tcPr>
          <w:p w14:paraId="17E758E5" w14:textId="14F869B3" w:rsidR="00E348F1" w:rsidRPr="00E348F1" w:rsidRDefault="00E348F1" w:rsidP="00AD3286">
            <w:pPr>
              <w:spacing w:line="480" w:lineRule="auto"/>
              <w:jc w:val="right"/>
              <w:rPr>
                <w:rFonts w:ascii="David" w:hAnsi="David" w:cs="David"/>
                <w:sz w:val="24"/>
                <w:szCs w:val="24"/>
              </w:rPr>
            </w:pPr>
            <w:r w:rsidRPr="00E348F1">
              <w:rPr>
                <w:rFonts w:ascii="David" w:hAnsi="David" w:cs="David"/>
                <w:rtl/>
              </w:rPr>
              <w:t>‏</w:t>
            </w:r>
            <w:r w:rsidRPr="00E348F1">
              <w:rPr>
                <w:rFonts w:ascii="David" w:hAnsi="David" w:cs="David"/>
                <w:sz w:val="24"/>
                <w:szCs w:val="24"/>
                <w:rtl/>
              </w:rPr>
              <w:t xml:space="preserve">ירושלים, </w:t>
            </w:r>
            <w:r w:rsidR="00AD3286">
              <w:rPr>
                <w:rFonts w:ascii="David" w:hAnsi="David" w:cs="David" w:hint="cs"/>
                <w:sz w:val="24"/>
                <w:szCs w:val="24"/>
                <w:rtl/>
              </w:rPr>
              <w:t>י"ז</w:t>
            </w:r>
            <w:r w:rsidRPr="00E348F1">
              <w:rPr>
                <w:rFonts w:ascii="David" w:hAnsi="David" w:cs="David"/>
                <w:sz w:val="24"/>
                <w:szCs w:val="24"/>
                <w:rtl/>
              </w:rPr>
              <w:t xml:space="preserve"> באייר, תשע"ט</w:t>
            </w:r>
          </w:p>
          <w:p w14:paraId="214A0CDB" w14:textId="1A49DDC8" w:rsidR="00E348F1" w:rsidRPr="00E348F1" w:rsidRDefault="00E348F1" w:rsidP="00AD3286">
            <w:pPr>
              <w:spacing w:line="480" w:lineRule="auto"/>
              <w:jc w:val="right"/>
              <w:rPr>
                <w:rFonts w:ascii="David" w:hAnsi="David" w:cs="David"/>
              </w:rPr>
            </w:pPr>
            <w:r w:rsidRPr="00E348F1">
              <w:rPr>
                <w:rFonts w:ascii="David" w:hAnsi="David" w:cs="David"/>
                <w:sz w:val="24"/>
                <w:szCs w:val="24"/>
                <w:rtl/>
              </w:rPr>
              <w:t>‏‏</w:t>
            </w:r>
            <w:r w:rsidR="00AD3286">
              <w:rPr>
                <w:rFonts w:ascii="David" w:hAnsi="David" w:cs="David" w:hint="cs"/>
                <w:sz w:val="24"/>
                <w:szCs w:val="24"/>
                <w:rtl/>
              </w:rPr>
              <w:t>22</w:t>
            </w:r>
            <w:r w:rsidRPr="00E348F1">
              <w:rPr>
                <w:rFonts w:ascii="David" w:hAnsi="David" w:cs="David"/>
                <w:sz w:val="24"/>
                <w:szCs w:val="24"/>
                <w:rtl/>
              </w:rPr>
              <w:t xml:space="preserve"> במאי 2019</w:t>
            </w:r>
          </w:p>
        </w:tc>
      </w:tr>
    </w:tbl>
    <w:p w14:paraId="7E748684" w14:textId="77777777" w:rsidR="00E348F1" w:rsidRPr="00E348F1" w:rsidRDefault="00E348F1" w:rsidP="00E348F1">
      <w:pPr>
        <w:rPr>
          <w:rFonts w:ascii="David" w:hAnsi="David" w:cs="David"/>
          <w:sz w:val="24"/>
          <w:szCs w:val="24"/>
          <w:rtl/>
        </w:rPr>
      </w:pPr>
      <w:r w:rsidRPr="00E348F1">
        <w:rPr>
          <w:rFonts w:ascii="David" w:hAnsi="David" w:cs="David"/>
          <w:sz w:val="24"/>
          <w:szCs w:val="24"/>
          <w:rtl/>
        </w:rPr>
        <w:t>הודעה לעיתונות:</w:t>
      </w:r>
    </w:p>
    <w:p w14:paraId="57596EBD" w14:textId="77777777" w:rsidR="00E348F1" w:rsidRPr="00E348F1" w:rsidRDefault="00E348F1" w:rsidP="00E348F1">
      <w:pPr>
        <w:jc w:val="center"/>
        <w:rPr>
          <w:rFonts w:ascii="David" w:eastAsia="Calibri" w:hAnsi="David" w:cs="David"/>
          <w:b/>
          <w:bCs/>
          <w:sz w:val="24"/>
          <w:szCs w:val="24"/>
          <w:rtl/>
        </w:rPr>
      </w:pPr>
    </w:p>
    <w:p w14:paraId="2CC2F38D" w14:textId="079D72B7" w:rsidR="00E348F1" w:rsidRPr="00E348F1" w:rsidRDefault="00E348F1" w:rsidP="00E348F1">
      <w:pPr>
        <w:rPr>
          <w:rFonts w:ascii="David" w:hAnsi="David" w:cs="David"/>
          <w:b/>
          <w:bCs/>
          <w:sz w:val="28"/>
          <w:szCs w:val="28"/>
          <w:u w:val="single"/>
          <w:rtl/>
        </w:rPr>
      </w:pPr>
      <w:r w:rsidRPr="00E348F1">
        <w:rPr>
          <w:rFonts w:ascii="David" w:hAnsi="David" w:cs="David"/>
          <w:sz w:val="24"/>
          <w:szCs w:val="24"/>
          <w:rtl/>
        </w:rPr>
        <w:t>קטע מתוך הסקירה השנתית של מערכת הבנקאות לשנת 2018 שתפורסם בקרוב:</w:t>
      </w:r>
    </w:p>
    <w:p w14:paraId="3E468FCD" w14:textId="77777777" w:rsidR="00E348F1" w:rsidRPr="00E348F1" w:rsidRDefault="00E348F1" w:rsidP="00E348F1">
      <w:pPr>
        <w:jc w:val="center"/>
        <w:rPr>
          <w:rFonts w:ascii="David" w:hAnsi="David" w:cs="David"/>
          <w:b/>
          <w:bCs/>
          <w:sz w:val="24"/>
          <w:szCs w:val="24"/>
          <w:u w:val="single"/>
          <w:rtl/>
        </w:rPr>
      </w:pPr>
    </w:p>
    <w:p w14:paraId="31F205D7" w14:textId="4EFF21DD" w:rsidR="00014CAA" w:rsidRPr="00E348F1" w:rsidRDefault="00014CAA" w:rsidP="003E2975">
      <w:pPr>
        <w:jc w:val="center"/>
        <w:rPr>
          <w:rFonts w:ascii="David" w:hAnsi="David" w:cs="David"/>
          <w:b/>
          <w:bCs/>
          <w:sz w:val="28"/>
          <w:szCs w:val="28"/>
          <w:rtl/>
        </w:rPr>
      </w:pPr>
      <w:bookmarkStart w:id="0" w:name="_GoBack"/>
      <w:r w:rsidRPr="00E348F1">
        <w:rPr>
          <w:rFonts w:ascii="David" w:hAnsi="David" w:cs="David"/>
          <w:b/>
          <w:bCs/>
          <w:sz w:val="28"/>
          <w:szCs w:val="28"/>
          <w:rtl/>
        </w:rPr>
        <w:t xml:space="preserve">מעבר </w:t>
      </w:r>
      <w:r w:rsidR="0047443A" w:rsidRPr="00E348F1">
        <w:rPr>
          <w:rFonts w:ascii="David" w:hAnsi="David" w:cs="David" w:hint="cs"/>
          <w:b/>
          <w:bCs/>
          <w:sz w:val="28"/>
          <w:szCs w:val="28"/>
          <w:rtl/>
        </w:rPr>
        <w:t>מבנק לבנק ופ</w:t>
      </w:r>
      <w:r w:rsidR="003E2975" w:rsidRPr="00E348F1">
        <w:rPr>
          <w:rFonts w:ascii="David" w:hAnsi="David" w:cs="David" w:hint="cs"/>
          <w:b/>
          <w:bCs/>
          <w:sz w:val="28"/>
          <w:szCs w:val="28"/>
          <w:rtl/>
        </w:rPr>
        <w:t>יצול</w:t>
      </w:r>
      <w:r w:rsidR="0047443A" w:rsidRPr="00E348F1">
        <w:rPr>
          <w:rFonts w:ascii="David" w:hAnsi="David" w:cs="David" w:hint="cs"/>
          <w:b/>
          <w:bCs/>
          <w:sz w:val="28"/>
          <w:szCs w:val="28"/>
          <w:rtl/>
        </w:rPr>
        <w:t xml:space="preserve"> המוצרים הבנקאיים</w:t>
      </w:r>
    </w:p>
    <w:bookmarkEnd w:id="0"/>
    <w:p w14:paraId="242F2B6F" w14:textId="75B146C3" w:rsidR="0079340F" w:rsidRPr="000856CB" w:rsidRDefault="0079340F" w:rsidP="00125BEC">
      <w:pPr>
        <w:pStyle w:val="a6"/>
        <w:numPr>
          <w:ilvl w:val="0"/>
          <w:numId w:val="4"/>
        </w:numPr>
        <w:tabs>
          <w:tab w:val="left" w:pos="567"/>
          <w:tab w:val="left" w:pos="1814"/>
          <w:tab w:val="left" w:pos="2665"/>
        </w:tabs>
        <w:spacing w:after="0"/>
        <w:ind w:left="509" w:hanging="425"/>
        <w:rPr>
          <w:rFonts w:ascii="David" w:eastAsia="Times New Roman" w:hAnsi="David" w:cs="David"/>
          <w:b/>
          <w:bCs/>
          <w:szCs w:val="24"/>
        </w:rPr>
      </w:pPr>
      <w:r w:rsidRPr="000856CB">
        <w:rPr>
          <w:rFonts w:ascii="David" w:eastAsia="Times New Roman" w:hAnsi="David" w:cs="David"/>
          <w:b/>
          <w:bCs/>
          <w:szCs w:val="24"/>
          <w:rtl/>
        </w:rPr>
        <w:t>הפיקוח על הבנקים פועל להגברת התחרות במערכת הבנקאית באמצעות קידום מספר פרויקטים ושינויים מבניים גדולים בשוק. (ראו פרקים ב' ו-ג'</w:t>
      </w:r>
      <w:r w:rsidRPr="000856CB">
        <w:rPr>
          <w:rFonts w:ascii="David" w:eastAsia="Times New Roman" w:hAnsi="David" w:cs="David" w:hint="cs"/>
          <w:b/>
          <w:bCs/>
          <w:szCs w:val="24"/>
          <w:rtl/>
        </w:rPr>
        <w:t xml:space="preserve"> בסקירה השנתית של הפיקוח על הבנקים לשנת 2018 הצפויה להתפרסם בימים הקרובים</w:t>
      </w:r>
      <w:r w:rsidRPr="000856CB">
        <w:rPr>
          <w:rFonts w:ascii="David" w:eastAsia="Times New Roman" w:hAnsi="David" w:cs="David"/>
          <w:b/>
          <w:bCs/>
          <w:szCs w:val="24"/>
          <w:rtl/>
        </w:rPr>
        <w:t>.) זאת, בין היתר, באמצעות פרויקט משותף עם משרד האוצר לפישוט המעבר של לקוחות מבנק לבנק באופן מקוון.</w:t>
      </w:r>
    </w:p>
    <w:p w14:paraId="40A1F7DF" w14:textId="77777777" w:rsidR="0079340F" w:rsidRPr="000856CB" w:rsidRDefault="0079340F" w:rsidP="00125BEC">
      <w:pPr>
        <w:pStyle w:val="a6"/>
        <w:numPr>
          <w:ilvl w:val="0"/>
          <w:numId w:val="4"/>
        </w:numPr>
        <w:tabs>
          <w:tab w:val="left" w:pos="567"/>
          <w:tab w:val="left" w:pos="1814"/>
          <w:tab w:val="left" w:pos="2665"/>
        </w:tabs>
        <w:spacing w:after="0"/>
        <w:ind w:left="509" w:hanging="425"/>
        <w:rPr>
          <w:rFonts w:ascii="David" w:eastAsia="Times New Roman" w:hAnsi="David" w:cs="David"/>
          <w:b/>
          <w:bCs/>
          <w:szCs w:val="24"/>
        </w:rPr>
      </w:pPr>
      <w:r w:rsidRPr="000856CB">
        <w:rPr>
          <w:rFonts w:ascii="David" w:eastAsia="Times New Roman" w:hAnsi="David" w:cs="David"/>
          <w:b/>
          <w:bCs/>
          <w:szCs w:val="24"/>
          <w:rtl/>
        </w:rPr>
        <w:t>במסגרת זו, וכחלק מיישום תיקון מס' 27 לחוק הבנקאות (שירות ללקוח), התשמ"א-1981</w:t>
      </w:r>
      <w:r w:rsidRPr="000856CB">
        <w:rPr>
          <w:rFonts w:ascii="David" w:eastAsia="Times New Roman" w:hAnsi="David" w:cs="David"/>
          <w:b/>
          <w:bCs/>
          <w:szCs w:val="24"/>
          <w:vertAlign w:val="superscript"/>
          <w:rtl/>
        </w:rPr>
        <w:footnoteReference w:id="1"/>
      </w:r>
      <w:r w:rsidRPr="000856CB">
        <w:rPr>
          <w:rFonts w:ascii="David" w:eastAsia="Times New Roman" w:hAnsi="David" w:cs="David"/>
          <w:b/>
          <w:bCs/>
          <w:szCs w:val="24"/>
          <w:rtl/>
        </w:rPr>
        <w:t xml:space="preserve"> (להלן – תיקון החוק), נקבע כי על כל בנק להקים מערכת מקוונת לניוד חשבונות בנק (להלן "המערכת המקוונת") עד  2021. מדובר בפרויקט מורכב  מבחינה תפעולית – שעלויותיו גבוהות מאוד, ומוערכות בכמה מאות מיליוני ש"ח. </w:t>
      </w:r>
    </w:p>
    <w:p w14:paraId="20AF08D8" w14:textId="77777777" w:rsidR="0079340F" w:rsidRPr="000856CB" w:rsidRDefault="0079340F" w:rsidP="00125BEC">
      <w:pPr>
        <w:pStyle w:val="a6"/>
        <w:numPr>
          <w:ilvl w:val="0"/>
          <w:numId w:val="4"/>
        </w:numPr>
        <w:tabs>
          <w:tab w:val="left" w:pos="567"/>
          <w:tab w:val="left" w:pos="1814"/>
          <w:tab w:val="left" w:pos="2665"/>
        </w:tabs>
        <w:spacing w:after="0"/>
        <w:ind w:left="509" w:hanging="425"/>
        <w:rPr>
          <w:rFonts w:ascii="David" w:eastAsia="Times New Roman" w:hAnsi="David" w:cs="David"/>
          <w:b/>
          <w:bCs/>
          <w:szCs w:val="24"/>
        </w:rPr>
      </w:pPr>
      <w:r w:rsidRPr="000856CB">
        <w:rPr>
          <w:rFonts w:ascii="David" w:eastAsia="Times New Roman" w:hAnsi="David" w:cs="David"/>
          <w:b/>
          <w:bCs/>
          <w:szCs w:val="24"/>
          <w:rtl/>
        </w:rPr>
        <w:t xml:space="preserve">מטרת המערכת המקוונת היא להקל על לקוחות לעבור בין בנקים באופן מקוון, מאובטח ונוח, במהירות וללא עלות ללקוח. מטרה נוספת היא  הגברת הלחץ התחרותי על כל הבנקים.  ייתכן גם שהמערכת תניע לקוחות לפצל את סל המוצרים הפיננסיים שלהם בין בנקים, כלומר לנהל חשבון עו"ש בבנק אחד ולצרוך מוצרים פיננסיים שונים מבנקים ומגופים חוץ-בנקאיים אחרים. </w:t>
      </w:r>
    </w:p>
    <w:p w14:paraId="75F31058" w14:textId="77777777" w:rsidR="0079340F" w:rsidRPr="000856CB" w:rsidRDefault="0079340F" w:rsidP="00125BEC">
      <w:pPr>
        <w:pStyle w:val="a6"/>
        <w:numPr>
          <w:ilvl w:val="0"/>
          <w:numId w:val="4"/>
        </w:numPr>
        <w:tabs>
          <w:tab w:val="left" w:pos="567"/>
          <w:tab w:val="left" w:pos="1814"/>
          <w:tab w:val="left" w:pos="2665"/>
        </w:tabs>
        <w:spacing w:after="0"/>
        <w:ind w:left="509" w:hanging="425"/>
        <w:rPr>
          <w:rFonts w:ascii="David" w:eastAsia="Times New Roman" w:hAnsi="David" w:cs="David"/>
          <w:b/>
          <w:bCs/>
          <w:szCs w:val="24"/>
        </w:rPr>
      </w:pPr>
      <w:r w:rsidRPr="000856CB">
        <w:rPr>
          <w:rFonts w:ascii="David" w:hAnsi="David" w:cs="David"/>
          <w:b/>
          <w:bCs/>
          <w:szCs w:val="24"/>
          <w:rtl/>
        </w:rPr>
        <w:lastRenderedPageBreak/>
        <w:t xml:space="preserve">כיום, טרם השקת המערכת, מספר הלקוחות העוברים בישראל מבנק לבנק הוא כ-285 אלף בממוצע בשנה, ואלה החזיקו, בשנים 2016–2018, בכ-2.5% מסך חשבונות </w:t>
      </w:r>
      <w:proofErr w:type="spellStart"/>
      <w:r w:rsidRPr="000856CB">
        <w:rPr>
          <w:rFonts w:ascii="David" w:hAnsi="David" w:cs="David"/>
          <w:b/>
          <w:bCs/>
          <w:szCs w:val="24"/>
          <w:rtl/>
        </w:rPr>
        <w:t>העו"ש</w:t>
      </w:r>
      <w:proofErr w:type="spellEnd"/>
      <w:r w:rsidRPr="000856CB">
        <w:rPr>
          <w:rFonts w:ascii="David" w:hAnsi="David" w:cs="David"/>
          <w:b/>
          <w:bCs/>
          <w:szCs w:val="24"/>
          <w:rtl/>
        </w:rPr>
        <w:t xml:space="preserve"> במערכת הבנקאית. מדובר בשיעור דומה לזה הנאמד בעולם, ובפרט בבריטניה, שבה כבר פועלת מערכת כזאת.</w:t>
      </w:r>
      <w:r w:rsidRPr="000856CB">
        <w:rPr>
          <w:rFonts w:ascii="David" w:eastAsia="Times New Roman" w:hAnsi="David" w:cs="David"/>
          <w:b/>
          <w:bCs/>
          <w:szCs w:val="24"/>
          <w:rtl/>
        </w:rPr>
        <w:t xml:space="preserve"> </w:t>
      </w:r>
    </w:p>
    <w:p w14:paraId="08C703EC" w14:textId="77777777" w:rsidR="0079340F" w:rsidRPr="000856CB" w:rsidRDefault="0079340F" w:rsidP="00125BEC">
      <w:pPr>
        <w:pStyle w:val="a6"/>
        <w:numPr>
          <w:ilvl w:val="0"/>
          <w:numId w:val="4"/>
        </w:numPr>
        <w:tabs>
          <w:tab w:val="left" w:pos="567"/>
          <w:tab w:val="left" w:pos="1814"/>
          <w:tab w:val="left" w:pos="2665"/>
        </w:tabs>
        <w:spacing w:after="0"/>
        <w:ind w:left="509" w:hanging="425"/>
        <w:rPr>
          <w:rFonts w:ascii="David" w:hAnsi="David" w:cs="David"/>
          <w:b/>
          <w:bCs/>
          <w:szCs w:val="24"/>
        </w:rPr>
      </w:pPr>
      <w:r w:rsidRPr="000856CB">
        <w:rPr>
          <w:rFonts w:ascii="David" w:eastAsia="Times New Roman" w:hAnsi="David" w:cs="David"/>
          <w:b/>
          <w:bCs/>
          <w:szCs w:val="24"/>
          <w:rtl/>
        </w:rPr>
        <w:t xml:space="preserve">כאשר </w:t>
      </w:r>
      <w:r w:rsidRPr="000856CB">
        <w:rPr>
          <w:rFonts w:ascii="David" w:hAnsi="David" w:cs="David"/>
          <w:b/>
          <w:bCs/>
          <w:szCs w:val="24"/>
          <w:rtl/>
        </w:rPr>
        <w:t xml:space="preserve">בוחנים מיהם העוברים בין הבנקים מתברר כי שיעורם של גילאי 30–40  בקרבם גבוה במקצת מהממוצע, וכי בכ-70% מהמעברים נצרך בתקופת המעבר לפחות מוצר בנקאי אחד נוסף על חשבון </w:t>
      </w:r>
      <w:proofErr w:type="spellStart"/>
      <w:r w:rsidRPr="000856CB">
        <w:rPr>
          <w:rFonts w:ascii="David" w:hAnsi="David" w:cs="David"/>
          <w:b/>
          <w:bCs/>
          <w:szCs w:val="24"/>
          <w:rtl/>
        </w:rPr>
        <w:t>העו"ש</w:t>
      </w:r>
      <w:proofErr w:type="spellEnd"/>
      <w:r w:rsidRPr="000856CB">
        <w:rPr>
          <w:rFonts w:ascii="David" w:hAnsi="David" w:cs="David"/>
          <w:b/>
          <w:bCs/>
          <w:szCs w:val="24"/>
          <w:rtl/>
        </w:rPr>
        <w:t xml:space="preserve">. ב-9% מהמעברים המעבר מתבצע יחד עם נטילת הלוואה לדיור (ושיעור העוברים בסך </w:t>
      </w:r>
      <w:proofErr w:type="spellStart"/>
      <w:r w:rsidRPr="000856CB">
        <w:rPr>
          <w:rFonts w:ascii="David" w:hAnsi="David" w:cs="David"/>
          <w:b/>
          <w:bCs/>
          <w:szCs w:val="24"/>
          <w:rtl/>
        </w:rPr>
        <w:t>נוטלי</w:t>
      </w:r>
      <w:proofErr w:type="spellEnd"/>
      <w:r w:rsidRPr="000856CB">
        <w:rPr>
          <w:rFonts w:ascii="David" w:hAnsi="David" w:cs="David"/>
          <w:b/>
          <w:bCs/>
          <w:szCs w:val="24"/>
          <w:rtl/>
        </w:rPr>
        <w:t xml:space="preserve"> ההלוואות החדשות לדיור בשנים 2016-2018 הוא כ-37%); כ-30% מהמעברים מתבצעים בלוויית נטילת הלוואה שאינה לדיור או עם ניצול מסגרת עו"ש, וכ-28% </w:t>
      </w:r>
      <w:r w:rsidRPr="000856CB">
        <w:rPr>
          <w:rFonts w:ascii="David" w:hAnsi="David" w:cs="David"/>
          <w:b/>
          <w:bCs/>
          <w:szCs w:val="24"/>
        </w:rPr>
        <w:t>–</w:t>
      </w:r>
      <w:r w:rsidRPr="000856CB">
        <w:rPr>
          <w:rFonts w:ascii="David" w:hAnsi="David" w:cs="David"/>
          <w:b/>
          <w:bCs/>
          <w:szCs w:val="24"/>
          <w:rtl/>
        </w:rPr>
        <w:t xml:space="preserve"> בלוויית פתיחת חשבון פיקדון בבנק החדש.</w:t>
      </w:r>
    </w:p>
    <w:p w14:paraId="55EE2344" w14:textId="6F4DC7C8" w:rsidR="0079340F" w:rsidRPr="000856CB" w:rsidRDefault="0079340F" w:rsidP="00EA5C97">
      <w:pPr>
        <w:pStyle w:val="a6"/>
        <w:numPr>
          <w:ilvl w:val="0"/>
          <w:numId w:val="4"/>
        </w:numPr>
        <w:tabs>
          <w:tab w:val="left" w:pos="567"/>
          <w:tab w:val="left" w:pos="1814"/>
          <w:tab w:val="left" w:pos="2665"/>
        </w:tabs>
        <w:spacing w:after="0"/>
        <w:ind w:left="509" w:hanging="425"/>
        <w:rPr>
          <w:rFonts w:ascii="David" w:eastAsia="Times New Roman" w:hAnsi="David" w:cs="David"/>
          <w:b/>
          <w:bCs/>
          <w:szCs w:val="24"/>
          <w:rtl/>
        </w:rPr>
      </w:pPr>
      <w:moveFromRangeStart w:id="1" w:author="מירי רוזנשטוק" w:date="2019-05-12T16:21:00Z" w:name="move8570488"/>
      <w:moveFromRangeEnd w:id="1"/>
      <w:r w:rsidRPr="000856CB">
        <w:rPr>
          <w:rFonts w:ascii="David" w:hAnsi="David" w:cs="David"/>
          <w:b/>
          <w:bCs/>
          <w:szCs w:val="24"/>
          <w:rtl/>
        </w:rPr>
        <w:t xml:space="preserve">בבריטניה, שבה כבר הוטמעה, כאמור, מערכת לניוד מקוון של חשבונות עו"ש, נמצא כי לאחר הקמתה לא השתנה שיעור מעברי חשבונות </w:t>
      </w:r>
      <w:proofErr w:type="spellStart"/>
      <w:r w:rsidRPr="000856CB">
        <w:rPr>
          <w:rFonts w:ascii="David" w:hAnsi="David" w:cs="David"/>
          <w:b/>
          <w:bCs/>
          <w:szCs w:val="24"/>
          <w:rtl/>
        </w:rPr>
        <w:t>העו"ש</w:t>
      </w:r>
      <w:proofErr w:type="spellEnd"/>
      <w:r w:rsidRPr="000856CB">
        <w:rPr>
          <w:rFonts w:ascii="David" w:hAnsi="David" w:cs="David"/>
          <w:b/>
          <w:bCs/>
          <w:szCs w:val="24"/>
          <w:rtl/>
        </w:rPr>
        <w:t>. לפיכך אני מעריכים שהקמת מערכת כזאת בישראל לא תגדיל משמעותית את מספר המעברים. לעומת זאת הביאה המערכת בבריטניה לגידול של מספר המוצרים הפיננסיים המוצעים ללקוחות ומגוונם. צפוי אפוא כי גם בישראל הבנקים ישתכללו באמצעות המערכת הנבנית, ותגבר התחרות לא רק בהיבטים מסורתיים על סל השירותים הבנקאיים, אלא גם על שירותים ספציפיים</w:t>
      </w:r>
      <w:r w:rsidRPr="000856CB">
        <w:rPr>
          <w:rFonts w:ascii="David" w:eastAsia="Times New Roman" w:hAnsi="David" w:cs="David"/>
          <w:b/>
          <w:bCs/>
          <w:szCs w:val="24"/>
          <w:rtl/>
        </w:rPr>
        <w:t xml:space="preserve">. </w:t>
      </w:r>
    </w:p>
    <w:p w14:paraId="5141C4C5" w14:textId="77777777" w:rsidR="004165FF" w:rsidRDefault="004165FF" w:rsidP="0079340F">
      <w:pPr>
        <w:tabs>
          <w:tab w:val="left" w:pos="567"/>
          <w:tab w:val="left" w:pos="1134"/>
          <w:tab w:val="left" w:pos="1814"/>
          <w:tab w:val="left" w:pos="2665"/>
        </w:tabs>
        <w:spacing w:before="120" w:after="0" w:line="360" w:lineRule="auto"/>
        <w:jc w:val="both"/>
        <w:rPr>
          <w:rFonts w:ascii="David" w:eastAsia="Times New Roman" w:hAnsi="David" w:cs="David"/>
          <w:b/>
          <w:bCs/>
          <w:sz w:val="24"/>
          <w:szCs w:val="24"/>
          <w:u w:val="single"/>
          <w:rtl/>
        </w:rPr>
      </w:pPr>
    </w:p>
    <w:p w14:paraId="2BCBB9D3" w14:textId="77777777" w:rsidR="0079340F" w:rsidRPr="000856CB" w:rsidRDefault="0079340F" w:rsidP="0079340F">
      <w:pPr>
        <w:tabs>
          <w:tab w:val="left" w:pos="567"/>
          <w:tab w:val="left" w:pos="1134"/>
          <w:tab w:val="left" w:pos="1814"/>
          <w:tab w:val="left" w:pos="2665"/>
        </w:tabs>
        <w:spacing w:before="120" w:after="0" w:line="360" w:lineRule="auto"/>
        <w:jc w:val="both"/>
        <w:rPr>
          <w:rFonts w:ascii="David" w:eastAsia="Times New Roman" w:hAnsi="David" w:cs="David"/>
          <w:b/>
          <w:bCs/>
          <w:sz w:val="24"/>
          <w:szCs w:val="24"/>
          <w:u w:val="single"/>
          <w:rtl/>
        </w:rPr>
      </w:pPr>
      <w:r w:rsidRPr="000856CB">
        <w:rPr>
          <w:rFonts w:ascii="David" w:eastAsia="Times New Roman" w:hAnsi="David" w:cs="David"/>
          <w:b/>
          <w:bCs/>
          <w:sz w:val="24"/>
          <w:szCs w:val="24"/>
          <w:u w:val="single"/>
          <w:rtl/>
        </w:rPr>
        <w:lastRenderedPageBreak/>
        <w:t>רקע</w:t>
      </w:r>
    </w:p>
    <w:p w14:paraId="41A4B07D" w14:textId="77777777" w:rsidR="0079340F" w:rsidRPr="000856CB" w:rsidRDefault="0079340F" w:rsidP="0079340F">
      <w:pPr>
        <w:tabs>
          <w:tab w:val="left" w:pos="567"/>
          <w:tab w:val="left" w:pos="1134"/>
          <w:tab w:val="left" w:pos="1814"/>
          <w:tab w:val="left" w:pos="2665"/>
        </w:tabs>
        <w:spacing w:before="120" w:after="0" w:line="360" w:lineRule="auto"/>
        <w:jc w:val="both"/>
        <w:rPr>
          <w:rFonts w:ascii="David" w:eastAsia="Times New Roman" w:hAnsi="David" w:cs="David"/>
          <w:sz w:val="24"/>
          <w:szCs w:val="24"/>
          <w:rtl/>
        </w:rPr>
      </w:pPr>
      <w:r w:rsidRPr="000856CB">
        <w:rPr>
          <w:rFonts w:ascii="David" w:eastAsia="Times New Roman" w:hAnsi="David" w:cs="David"/>
          <w:sz w:val="24"/>
          <w:szCs w:val="24"/>
          <w:rtl/>
        </w:rPr>
        <w:t xml:space="preserve">חשבון </w:t>
      </w:r>
      <w:proofErr w:type="spellStart"/>
      <w:r w:rsidRPr="000856CB">
        <w:rPr>
          <w:rFonts w:ascii="David" w:eastAsia="Times New Roman" w:hAnsi="David" w:cs="David"/>
          <w:sz w:val="24"/>
          <w:szCs w:val="24"/>
          <w:rtl/>
        </w:rPr>
        <w:t>העו"ש</w:t>
      </w:r>
      <w:proofErr w:type="spellEnd"/>
      <w:r w:rsidRPr="000856CB">
        <w:rPr>
          <w:rFonts w:ascii="David" w:eastAsia="Times New Roman" w:hAnsi="David" w:cs="David"/>
          <w:sz w:val="24"/>
          <w:szCs w:val="24"/>
          <w:rtl/>
        </w:rPr>
        <w:t xml:space="preserve"> הוא המוצר הפיננסי המרכזי שהציבור צורך, ולקוחות רבים בארץ ובעולם משאירים את חשבונם זה בבנק אחד לאורך שנים רבות. אחד ההסברים לנאמנות הלקוחות לבנק שלהם נעוץ בקושי הבירוקרטי הכרוך בהעברת חשבון </w:t>
      </w:r>
      <w:proofErr w:type="spellStart"/>
      <w:r w:rsidRPr="000856CB">
        <w:rPr>
          <w:rFonts w:ascii="David" w:eastAsia="Times New Roman" w:hAnsi="David" w:cs="David"/>
          <w:sz w:val="24"/>
          <w:szCs w:val="24"/>
          <w:rtl/>
        </w:rPr>
        <w:t>העו"ש</w:t>
      </w:r>
      <w:proofErr w:type="spellEnd"/>
      <w:r w:rsidRPr="000856CB">
        <w:rPr>
          <w:rFonts w:ascii="David" w:eastAsia="Times New Roman" w:hAnsi="David" w:cs="David"/>
          <w:sz w:val="24"/>
          <w:szCs w:val="24"/>
          <w:rtl/>
        </w:rPr>
        <w:t>. קושי זה הוא בבחינת חסם אפקטיבי לתחרות בין הבנקים, שכן הלקוחות "נשבים" בבנק שבו הם מנהלים את החשבון, ולכן צורכים ממנו גם שירותים נוספים, כהלוואות ופיקדונות. קושי זה מאפיין משקים רבים  ברחבי העולם. בריטניה פיתחה פתרון לבעיה באמצעות הקמת מערכת מקוונת לניוד חשבונות (</w:t>
      </w:r>
      <w:r w:rsidRPr="000856CB">
        <w:rPr>
          <w:rFonts w:ascii="David" w:eastAsia="Times New Roman" w:hAnsi="David" w:cs="David"/>
          <w:sz w:val="24"/>
          <w:szCs w:val="24"/>
        </w:rPr>
        <w:t>(CASS- Current Account Switching Services</w:t>
      </w:r>
      <w:r w:rsidRPr="000856CB">
        <w:rPr>
          <w:rFonts w:ascii="David" w:eastAsia="Times New Roman" w:hAnsi="David" w:cs="David"/>
          <w:sz w:val="24"/>
          <w:szCs w:val="24"/>
          <w:rtl/>
        </w:rPr>
        <w:t xml:space="preserve">, שבאמצעותה העברת החשבונות נעשית בצורה פשוטה ללקוח, בתוך שבעה ימים, והבירוקרטיה הכרוכה בה אינה מצריכה את  מעורבותו. </w:t>
      </w:r>
    </w:p>
    <w:p w14:paraId="66138745" w14:textId="089EAA98" w:rsidR="0079340F" w:rsidRPr="000856CB" w:rsidRDefault="0079340F" w:rsidP="00EA5C97">
      <w:pPr>
        <w:tabs>
          <w:tab w:val="left" w:pos="567"/>
          <w:tab w:val="left" w:pos="1134"/>
          <w:tab w:val="left" w:pos="1814"/>
          <w:tab w:val="left" w:pos="2665"/>
        </w:tabs>
        <w:spacing w:before="120" w:after="0" w:line="360" w:lineRule="auto"/>
        <w:jc w:val="both"/>
        <w:rPr>
          <w:rFonts w:ascii="David" w:eastAsia="Times New Roman" w:hAnsi="David" w:cs="David"/>
          <w:sz w:val="24"/>
          <w:szCs w:val="24"/>
          <w:rtl/>
        </w:rPr>
      </w:pPr>
      <w:r w:rsidRPr="000856CB">
        <w:rPr>
          <w:rFonts w:ascii="David" w:eastAsia="Times New Roman" w:hAnsi="David" w:cs="David"/>
          <w:sz w:val="24"/>
          <w:szCs w:val="24"/>
          <w:rtl/>
        </w:rPr>
        <w:t>הפיקוח על הבנקים, יחד עם משרד האוצר, מקדם כיום פרויקט שבמסגרתו הבנקים בישראל יקימו מערכת מקוונת לניוד חשבונות בנק, בדומה לזו הפועלת בבריטניה. הקמת המערכת היא מורכבת, ועלויותיה גבוהות, אולם השלמתה צפויה להביא לשיפור תנאי ההתקשרות של הלקוח, בין אם בבנק החדש שאליו הלקוח שוקל להעביר את</w:t>
      </w:r>
      <w:r w:rsidRPr="000856CB">
        <w:rPr>
          <w:rFonts w:ascii="David" w:eastAsia="Times New Roman" w:hAnsi="David" w:cs="David" w:hint="cs"/>
          <w:sz w:val="24"/>
          <w:szCs w:val="24"/>
          <w:rtl/>
        </w:rPr>
        <w:t xml:space="preserve"> </w:t>
      </w:r>
      <w:r w:rsidRPr="000856CB">
        <w:rPr>
          <w:rFonts w:ascii="David" w:eastAsia="Times New Roman" w:hAnsi="David" w:cs="David"/>
          <w:sz w:val="24"/>
          <w:szCs w:val="24"/>
          <w:rtl/>
        </w:rPr>
        <w:t xml:space="preserve">פעילותו הפיננסית ובין בבנק שבו היא מתנהלת כעת, וזאת בזכות הגברת האיום התחרותי וחיזוק כוח המיקוח של הלקוח. אף על פי כן המערכת לא תביא בהכרח לגידול שיעור המעברים כפי שאנו למדים מהניסיון בבריטניה, שם הוא לא עלה בעקבות הפעלת המערכת, גם לאחר פעולות הסברה רבות, שנועדו להגביר את מודעות הציבור לקיומה. עם זאת חשוב להדגיש כי בבריטניה נמצא </w:t>
      </w:r>
      <w:r w:rsidRPr="000856CB">
        <w:rPr>
          <w:rFonts w:ascii="David" w:eastAsia="Times New Roman" w:hAnsi="David" w:cs="David"/>
          <w:sz w:val="24"/>
          <w:szCs w:val="24"/>
          <w:rtl/>
        </w:rPr>
        <w:lastRenderedPageBreak/>
        <w:t xml:space="preserve">שלמערכת ניוד החשבונות יש השפעות נרחבות על התחרות: </w:t>
      </w:r>
      <w:r w:rsidRPr="000856CB">
        <w:rPr>
          <w:rFonts w:ascii="David" w:hAnsi="David" w:cs="David"/>
          <w:sz w:val="24"/>
          <w:szCs w:val="24"/>
          <w:rtl/>
        </w:rPr>
        <w:t>מספר המוצרים הפיננסיים המוצעים ללקוחות ומגוונם גדלו, הוגבר שיתוף הפעולה בין בנקים גדולים לבין פינטקים, איכות השירות ללקוח השתפרה והופחתו חסמי כניסה לבנקים חדשים.</w:t>
      </w:r>
      <w:r w:rsidRPr="000856CB">
        <w:rPr>
          <w:rFonts w:ascii="David" w:eastAsia="Times New Roman" w:hAnsi="David" w:cs="David"/>
          <w:sz w:val="24"/>
          <w:szCs w:val="24"/>
          <w:rtl/>
        </w:rPr>
        <w:t xml:space="preserve"> לכן ייתכן כי גם בישראל הקמת המערכת לניוד חשבונות, תתרום להגברת התחרות – שיפור שלא יתבטא בהכרח בגידול של שיעור המעברים. זאת, כמובן נוסף על הקלה רבה  על הלקוחות הבוחרים להחליף בנק.</w:t>
      </w:r>
    </w:p>
    <w:p w14:paraId="1639566F" w14:textId="77777777" w:rsidR="0079340F" w:rsidRPr="000856CB" w:rsidRDefault="0079340F" w:rsidP="0079340F">
      <w:pPr>
        <w:pStyle w:val="a3"/>
        <w:spacing w:line="360" w:lineRule="auto"/>
        <w:jc w:val="both"/>
        <w:rPr>
          <w:rFonts w:ascii="David" w:hAnsi="David" w:cs="David"/>
          <w:sz w:val="24"/>
          <w:szCs w:val="24"/>
          <w:rtl/>
        </w:rPr>
      </w:pPr>
      <w:r w:rsidRPr="000856CB">
        <w:rPr>
          <w:rFonts w:ascii="David" w:hAnsi="David" w:cs="David"/>
          <w:sz w:val="24"/>
          <w:szCs w:val="24"/>
          <w:rtl/>
        </w:rPr>
        <w:t>באמצעות מסד נתונים חדש, אשר נאסף בפיקוח על הבנקים</w:t>
      </w:r>
      <w:r w:rsidRPr="000856CB">
        <w:rPr>
          <w:rFonts w:ascii="David" w:eastAsia="Times New Roman" w:hAnsi="David" w:cs="David"/>
          <w:sz w:val="24"/>
          <w:szCs w:val="24"/>
          <w:rtl/>
        </w:rPr>
        <w:t xml:space="preserve"> על גבי השנים 2018-2016 </w:t>
      </w:r>
      <w:r w:rsidRPr="000856CB">
        <w:rPr>
          <w:rFonts w:ascii="David" w:hAnsi="David" w:cs="David"/>
          <w:sz w:val="24"/>
          <w:szCs w:val="24"/>
          <w:rtl/>
        </w:rPr>
        <w:t>ניתן לבחון פתיחה של חשבונות במערכת הבנקאית בחלוקה לסוגי פעילות שונים: עו"ש, פיקדונות, חסכונות, הלוואות צרכניות, הלוואות לדיור וניירות ערך. כך ניתן ללמוד על העברת חשבונות הבנק בישראל לסוגיהם. מסד הנתונים גם מאפשר לנו ללמוד על פיצול סל המוצרים הבנקאי של הלקוחות בין הבנקים השונים, וכך להיטיב וללמוד על התנהגות לקוחות הבנקים בישראל.</w:t>
      </w:r>
    </w:p>
    <w:p w14:paraId="6085D7D3" w14:textId="77777777" w:rsidR="00E348F1" w:rsidRDefault="00E348F1">
      <w:pPr>
        <w:bidi w:val="0"/>
        <w:rPr>
          <w:rFonts w:ascii="David" w:eastAsia="Times New Roman" w:hAnsi="David" w:cs="David"/>
          <w:b/>
          <w:bCs/>
          <w:sz w:val="24"/>
          <w:szCs w:val="24"/>
          <w:u w:val="single"/>
          <w:rtl/>
        </w:rPr>
      </w:pPr>
      <w:r>
        <w:rPr>
          <w:rFonts w:ascii="David" w:eastAsia="Times New Roman" w:hAnsi="David" w:cs="David"/>
          <w:b/>
          <w:bCs/>
          <w:sz w:val="24"/>
          <w:szCs w:val="24"/>
          <w:u w:val="single"/>
          <w:rtl/>
        </w:rPr>
        <w:br w:type="page"/>
      </w:r>
    </w:p>
    <w:p w14:paraId="30B5972C" w14:textId="67D7E555" w:rsidR="0079340F" w:rsidRPr="000856CB" w:rsidRDefault="0079340F" w:rsidP="0079340F">
      <w:pPr>
        <w:tabs>
          <w:tab w:val="left" w:pos="567"/>
          <w:tab w:val="left" w:pos="1134"/>
          <w:tab w:val="left" w:pos="1814"/>
          <w:tab w:val="left" w:pos="2665"/>
        </w:tabs>
        <w:spacing w:before="120" w:after="0" w:line="360" w:lineRule="auto"/>
        <w:jc w:val="both"/>
        <w:rPr>
          <w:rFonts w:ascii="David" w:eastAsia="Times New Roman" w:hAnsi="David" w:cs="David"/>
          <w:b/>
          <w:bCs/>
          <w:sz w:val="24"/>
          <w:szCs w:val="24"/>
          <w:u w:val="single"/>
          <w:rtl/>
        </w:rPr>
      </w:pPr>
      <w:r w:rsidRPr="000856CB">
        <w:rPr>
          <w:rFonts w:ascii="David" w:eastAsia="Times New Roman" w:hAnsi="David" w:cs="David"/>
          <w:b/>
          <w:bCs/>
          <w:sz w:val="24"/>
          <w:szCs w:val="24"/>
          <w:u w:val="single"/>
          <w:rtl/>
        </w:rPr>
        <w:t>מעברי חשבונות בנק – מגמות בעולם וישראל</w:t>
      </w:r>
    </w:p>
    <w:p w14:paraId="41754B53" w14:textId="35F492C4" w:rsidR="0079340F" w:rsidRDefault="0079340F" w:rsidP="0079340F">
      <w:pPr>
        <w:spacing w:line="360" w:lineRule="auto"/>
        <w:jc w:val="both"/>
        <w:rPr>
          <w:rFonts w:ascii="David" w:eastAsia="Times New Roman" w:hAnsi="David" w:cs="David"/>
          <w:sz w:val="24"/>
          <w:szCs w:val="24"/>
          <w:rtl/>
        </w:rPr>
      </w:pPr>
      <w:r w:rsidRPr="000856CB">
        <w:rPr>
          <w:rFonts w:ascii="David" w:eastAsia="Times New Roman" w:hAnsi="David" w:cs="David"/>
          <w:sz w:val="24"/>
          <w:szCs w:val="24"/>
          <w:rtl/>
        </w:rPr>
        <w:t xml:space="preserve">מספר מעברי חשבונות </w:t>
      </w:r>
      <w:proofErr w:type="spellStart"/>
      <w:r w:rsidRPr="000856CB">
        <w:rPr>
          <w:rFonts w:ascii="David" w:eastAsia="Times New Roman" w:hAnsi="David" w:cs="David"/>
          <w:sz w:val="24"/>
          <w:szCs w:val="24"/>
          <w:rtl/>
        </w:rPr>
        <w:t>העו"ש</w:t>
      </w:r>
      <w:proofErr w:type="spellEnd"/>
      <w:r w:rsidRPr="000856CB">
        <w:rPr>
          <w:rFonts w:ascii="David" w:eastAsia="Times New Roman" w:hAnsi="David" w:cs="David"/>
          <w:sz w:val="24"/>
          <w:szCs w:val="24"/>
          <w:rtl/>
        </w:rPr>
        <w:t xml:space="preserve"> בישראל הוא כ-285 אלף בממוצע בשנה – כ-2.5% מסך חשבונות </w:t>
      </w:r>
      <w:proofErr w:type="spellStart"/>
      <w:r w:rsidRPr="000856CB">
        <w:rPr>
          <w:rFonts w:ascii="David" w:eastAsia="Times New Roman" w:hAnsi="David" w:cs="David"/>
          <w:sz w:val="24"/>
          <w:szCs w:val="24"/>
          <w:rtl/>
        </w:rPr>
        <w:t>העו"ש</w:t>
      </w:r>
      <w:proofErr w:type="spellEnd"/>
      <w:r w:rsidRPr="000856CB">
        <w:rPr>
          <w:rFonts w:ascii="David" w:eastAsia="Times New Roman" w:hAnsi="David" w:cs="David"/>
          <w:sz w:val="24"/>
          <w:szCs w:val="24"/>
          <w:rtl/>
        </w:rPr>
        <w:t xml:space="preserve"> במערכת הבנקאית בשנים 2016–2018</w:t>
      </w:r>
      <w:r w:rsidRPr="000856CB">
        <w:rPr>
          <w:rStyle w:val="a5"/>
          <w:rFonts w:ascii="David" w:eastAsia="Times New Roman" w:hAnsi="David" w:cs="David"/>
          <w:sz w:val="24"/>
          <w:szCs w:val="24"/>
          <w:rtl/>
        </w:rPr>
        <w:footnoteReference w:id="2"/>
      </w:r>
      <w:r w:rsidRPr="000856CB">
        <w:rPr>
          <w:rFonts w:ascii="David" w:eastAsia="Times New Roman" w:hAnsi="David" w:cs="David"/>
          <w:sz w:val="24"/>
          <w:szCs w:val="24"/>
          <w:rtl/>
        </w:rPr>
        <w:t xml:space="preserve">, </w:t>
      </w:r>
      <w:r w:rsidRPr="000856CB">
        <w:rPr>
          <w:rFonts w:ascii="David" w:hAnsi="David" w:cs="David"/>
          <w:sz w:val="24"/>
          <w:szCs w:val="24"/>
          <w:rtl/>
        </w:rPr>
        <w:t>בדומה לשיעור הנאמד בעולם, ובפרט בבריטניה (כ-2%-3%; לוח 1</w:t>
      </w:r>
      <w:r w:rsidRPr="000856CB">
        <w:rPr>
          <w:rFonts w:ascii="David" w:eastAsia="Times New Roman" w:hAnsi="David" w:cs="David"/>
          <w:sz w:val="24"/>
          <w:szCs w:val="24"/>
          <w:rtl/>
        </w:rPr>
        <w:t xml:space="preserve">). גם בארה"ב לקוח מחזיק באותו חשבון בנק כ-16 שנים בממוצע, ומעל רבע מהציבור – יותר מ-20 שנים. </w:t>
      </w:r>
    </w:p>
    <w:p w14:paraId="02AF381B" w14:textId="77777777" w:rsidR="00553A8D" w:rsidRPr="000856CB" w:rsidRDefault="00553A8D" w:rsidP="0079340F">
      <w:pPr>
        <w:spacing w:line="360" w:lineRule="auto"/>
        <w:jc w:val="both"/>
        <w:rPr>
          <w:rFonts w:ascii="David" w:eastAsia="Times New Roman" w:hAnsi="David" w:cs="David"/>
          <w:sz w:val="24"/>
          <w:szCs w:val="24"/>
          <w:rtl/>
        </w:rPr>
      </w:pPr>
    </w:p>
    <w:p w14:paraId="4BD78EE9" w14:textId="1D3E38C0" w:rsidR="0079340F" w:rsidRPr="000856CB" w:rsidRDefault="0079340F" w:rsidP="00125BEC">
      <w:pPr>
        <w:spacing w:after="0" w:line="360" w:lineRule="auto"/>
        <w:jc w:val="center"/>
        <w:rPr>
          <w:rFonts w:ascii="David" w:hAnsi="David" w:cs="David"/>
          <w:b/>
          <w:bCs/>
          <w:sz w:val="20"/>
          <w:szCs w:val="20"/>
          <w:u w:val="single"/>
          <w:rtl/>
        </w:rPr>
      </w:pPr>
      <w:r w:rsidRPr="000856CB">
        <w:rPr>
          <w:rFonts w:ascii="David" w:hAnsi="David" w:cs="David"/>
          <w:b/>
          <w:bCs/>
          <w:sz w:val="20"/>
          <w:szCs w:val="20"/>
          <w:u w:val="single"/>
          <w:rtl/>
        </w:rPr>
        <w:t>לוח 1</w:t>
      </w:r>
    </w:p>
    <w:p w14:paraId="27925FBB" w14:textId="77777777" w:rsidR="0079340F" w:rsidRPr="000856CB" w:rsidRDefault="0079340F" w:rsidP="0079340F">
      <w:pPr>
        <w:spacing w:after="0" w:line="360" w:lineRule="auto"/>
        <w:jc w:val="center"/>
        <w:rPr>
          <w:rFonts w:ascii="David" w:hAnsi="David" w:cs="David"/>
          <w:b/>
          <w:bCs/>
          <w:u w:val="single"/>
          <w:rtl/>
        </w:rPr>
      </w:pPr>
      <w:r w:rsidRPr="000856CB">
        <w:rPr>
          <w:rFonts w:ascii="David" w:hAnsi="David" w:cs="David"/>
          <w:b/>
          <w:bCs/>
          <w:sz w:val="20"/>
          <w:szCs w:val="20"/>
          <w:u w:val="single"/>
          <w:rtl/>
        </w:rPr>
        <w:t xml:space="preserve">שיעור מעבר חשבונות </w:t>
      </w:r>
      <w:proofErr w:type="spellStart"/>
      <w:r w:rsidRPr="000856CB">
        <w:rPr>
          <w:rFonts w:ascii="David" w:hAnsi="David" w:cs="David"/>
          <w:b/>
          <w:bCs/>
          <w:sz w:val="20"/>
          <w:szCs w:val="20"/>
          <w:u w:val="single"/>
          <w:rtl/>
        </w:rPr>
        <w:t>העו"ש</w:t>
      </w:r>
      <w:proofErr w:type="spellEnd"/>
      <w:r w:rsidRPr="000856CB">
        <w:rPr>
          <w:rFonts w:ascii="David" w:hAnsi="David" w:cs="David"/>
          <w:b/>
          <w:bCs/>
          <w:sz w:val="20"/>
          <w:szCs w:val="20"/>
          <w:u w:val="single"/>
          <w:rtl/>
        </w:rPr>
        <w:t xml:space="preserve"> מבנק לבנק</w:t>
      </w:r>
    </w:p>
    <w:tbl>
      <w:tblPr>
        <w:tblStyle w:val="12"/>
        <w:bidiVisual/>
        <w:tblW w:w="0" w:type="auto"/>
        <w:tblInd w:w="1309" w:type="dxa"/>
        <w:tblLook w:val="04A0" w:firstRow="1" w:lastRow="0" w:firstColumn="1" w:lastColumn="0" w:noHBand="0" w:noVBand="1"/>
      </w:tblPr>
      <w:tblGrid>
        <w:gridCol w:w="1760"/>
        <w:gridCol w:w="3921"/>
      </w:tblGrid>
      <w:tr w:rsidR="000856CB" w:rsidRPr="000856CB" w14:paraId="3DCBCE37" w14:textId="77777777" w:rsidTr="002B65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tcPr>
          <w:p w14:paraId="356F4FAB" w14:textId="77777777" w:rsidR="0079340F" w:rsidRPr="000856CB" w:rsidRDefault="0079340F" w:rsidP="002B6543">
            <w:pPr>
              <w:spacing w:line="360" w:lineRule="auto"/>
              <w:jc w:val="both"/>
              <w:rPr>
                <w:rFonts w:ascii="David" w:hAnsi="David" w:cs="David"/>
                <w:sz w:val="20"/>
                <w:szCs w:val="20"/>
                <w:rtl/>
              </w:rPr>
            </w:pPr>
            <w:r w:rsidRPr="000856CB">
              <w:rPr>
                <w:rFonts w:ascii="David" w:hAnsi="David" w:cs="David"/>
                <w:sz w:val="20"/>
                <w:szCs w:val="20"/>
                <w:rtl/>
              </w:rPr>
              <w:t>מדינה</w:t>
            </w:r>
          </w:p>
        </w:tc>
        <w:tc>
          <w:tcPr>
            <w:tcW w:w="3921" w:type="dxa"/>
          </w:tcPr>
          <w:p w14:paraId="0A501895" w14:textId="77777777" w:rsidR="0079340F" w:rsidRPr="000856CB" w:rsidRDefault="0079340F" w:rsidP="002B6543">
            <w:pPr>
              <w:spacing w:line="360" w:lineRule="auto"/>
              <w:jc w:val="both"/>
              <w:cnfStyle w:val="100000000000" w:firstRow="1" w:lastRow="0" w:firstColumn="0" w:lastColumn="0" w:oddVBand="0" w:evenVBand="0" w:oddHBand="0" w:evenHBand="0" w:firstRowFirstColumn="0" w:firstRowLastColumn="0" w:lastRowFirstColumn="0" w:lastRowLastColumn="0"/>
              <w:rPr>
                <w:rFonts w:ascii="David" w:hAnsi="David" w:cs="David"/>
                <w:sz w:val="20"/>
                <w:szCs w:val="20"/>
                <w:rtl/>
              </w:rPr>
            </w:pPr>
            <w:r w:rsidRPr="000856CB">
              <w:rPr>
                <w:rFonts w:ascii="David" w:hAnsi="David" w:cs="David"/>
                <w:sz w:val="20"/>
                <w:szCs w:val="20"/>
                <w:rtl/>
              </w:rPr>
              <w:t xml:space="preserve">שיעור מעבר חשבונות </w:t>
            </w:r>
            <w:proofErr w:type="spellStart"/>
            <w:r w:rsidRPr="000856CB">
              <w:rPr>
                <w:rFonts w:ascii="David" w:hAnsi="David" w:cs="David"/>
                <w:sz w:val="20"/>
                <w:szCs w:val="20"/>
                <w:rtl/>
              </w:rPr>
              <w:t>העו"ש</w:t>
            </w:r>
            <w:proofErr w:type="spellEnd"/>
            <w:r w:rsidRPr="000856CB">
              <w:rPr>
                <w:rFonts w:ascii="David" w:hAnsi="David" w:cs="David"/>
                <w:sz w:val="20"/>
                <w:szCs w:val="20"/>
                <w:rtl/>
              </w:rPr>
              <w:t xml:space="preserve"> מבנק לבנק</w:t>
            </w:r>
          </w:p>
        </w:tc>
      </w:tr>
      <w:tr w:rsidR="000856CB" w:rsidRPr="000856CB" w14:paraId="6CBB292A" w14:textId="77777777" w:rsidTr="002B6543">
        <w:tc>
          <w:tcPr>
            <w:cnfStyle w:val="001000000000" w:firstRow="0" w:lastRow="0" w:firstColumn="1" w:lastColumn="0" w:oddVBand="0" w:evenVBand="0" w:oddHBand="0" w:evenHBand="0" w:firstRowFirstColumn="0" w:firstRowLastColumn="0" w:lastRowFirstColumn="0" w:lastRowLastColumn="0"/>
            <w:tcW w:w="1760" w:type="dxa"/>
          </w:tcPr>
          <w:p w14:paraId="4EB2F5C3" w14:textId="77777777" w:rsidR="0079340F" w:rsidRPr="000856CB" w:rsidRDefault="0079340F" w:rsidP="002B6543">
            <w:pPr>
              <w:spacing w:line="360" w:lineRule="auto"/>
              <w:jc w:val="both"/>
              <w:rPr>
                <w:rFonts w:ascii="David" w:hAnsi="David" w:cs="David"/>
                <w:b w:val="0"/>
                <w:bCs w:val="0"/>
                <w:sz w:val="20"/>
                <w:szCs w:val="20"/>
                <w:rtl/>
              </w:rPr>
            </w:pPr>
            <w:r w:rsidRPr="000856CB">
              <w:rPr>
                <w:rFonts w:ascii="David" w:hAnsi="David" w:cs="David"/>
                <w:b w:val="0"/>
                <w:bCs w:val="0"/>
                <w:sz w:val="20"/>
                <w:szCs w:val="20"/>
                <w:rtl/>
              </w:rPr>
              <w:t>בריטניה</w:t>
            </w:r>
          </w:p>
        </w:tc>
        <w:tc>
          <w:tcPr>
            <w:tcW w:w="3921" w:type="dxa"/>
          </w:tcPr>
          <w:p w14:paraId="428B1541" w14:textId="77777777" w:rsidR="0079340F" w:rsidRPr="000856CB" w:rsidRDefault="0079340F" w:rsidP="002B6543">
            <w:pPr>
              <w:spacing w:line="36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0856CB">
              <w:rPr>
                <w:rFonts w:ascii="David" w:hAnsi="David" w:cs="David"/>
                <w:sz w:val="20"/>
                <w:szCs w:val="20"/>
                <w:rtl/>
              </w:rPr>
              <w:t>2-3%</w:t>
            </w:r>
          </w:p>
        </w:tc>
      </w:tr>
      <w:tr w:rsidR="000856CB" w:rsidRPr="000856CB" w14:paraId="10C1CC3F" w14:textId="77777777" w:rsidTr="002B6543">
        <w:tc>
          <w:tcPr>
            <w:cnfStyle w:val="001000000000" w:firstRow="0" w:lastRow="0" w:firstColumn="1" w:lastColumn="0" w:oddVBand="0" w:evenVBand="0" w:oddHBand="0" w:evenHBand="0" w:firstRowFirstColumn="0" w:firstRowLastColumn="0" w:lastRowFirstColumn="0" w:lastRowLastColumn="0"/>
            <w:tcW w:w="1760" w:type="dxa"/>
          </w:tcPr>
          <w:p w14:paraId="63272631" w14:textId="77777777" w:rsidR="0079340F" w:rsidRPr="000856CB" w:rsidRDefault="0079340F" w:rsidP="002B6543">
            <w:pPr>
              <w:spacing w:line="360" w:lineRule="auto"/>
              <w:jc w:val="both"/>
              <w:rPr>
                <w:rFonts w:ascii="David" w:hAnsi="David" w:cs="David"/>
                <w:b w:val="0"/>
                <w:bCs w:val="0"/>
                <w:sz w:val="20"/>
                <w:szCs w:val="20"/>
                <w:rtl/>
              </w:rPr>
            </w:pPr>
            <w:r w:rsidRPr="000856CB">
              <w:rPr>
                <w:rFonts w:ascii="David" w:hAnsi="David" w:cs="David"/>
                <w:b w:val="0"/>
                <w:bCs w:val="0"/>
                <w:sz w:val="20"/>
                <w:szCs w:val="20"/>
                <w:rtl/>
              </w:rPr>
              <w:t>ארה"ב</w:t>
            </w:r>
          </w:p>
        </w:tc>
        <w:tc>
          <w:tcPr>
            <w:tcW w:w="3921" w:type="dxa"/>
          </w:tcPr>
          <w:p w14:paraId="6FF12267" w14:textId="77777777" w:rsidR="0079340F" w:rsidRPr="000856CB" w:rsidRDefault="0079340F" w:rsidP="002B6543">
            <w:pPr>
              <w:spacing w:line="36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0856CB">
              <w:rPr>
                <w:rFonts w:ascii="David" w:hAnsi="David" w:cs="David"/>
                <w:sz w:val="20"/>
                <w:szCs w:val="20"/>
                <w:rtl/>
              </w:rPr>
              <w:t>4%</w:t>
            </w:r>
          </w:p>
        </w:tc>
      </w:tr>
      <w:tr w:rsidR="000856CB" w:rsidRPr="000856CB" w14:paraId="01832EBD" w14:textId="77777777" w:rsidTr="002B6543">
        <w:tc>
          <w:tcPr>
            <w:cnfStyle w:val="001000000000" w:firstRow="0" w:lastRow="0" w:firstColumn="1" w:lastColumn="0" w:oddVBand="0" w:evenVBand="0" w:oddHBand="0" w:evenHBand="0" w:firstRowFirstColumn="0" w:firstRowLastColumn="0" w:lastRowFirstColumn="0" w:lastRowLastColumn="0"/>
            <w:tcW w:w="1760" w:type="dxa"/>
          </w:tcPr>
          <w:p w14:paraId="75C5460E" w14:textId="77777777" w:rsidR="0079340F" w:rsidRPr="000856CB" w:rsidRDefault="0079340F" w:rsidP="002B6543">
            <w:pPr>
              <w:spacing w:line="360" w:lineRule="auto"/>
              <w:jc w:val="both"/>
              <w:rPr>
                <w:rFonts w:ascii="David" w:hAnsi="David" w:cs="David"/>
                <w:b w:val="0"/>
                <w:bCs w:val="0"/>
                <w:sz w:val="20"/>
                <w:szCs w:val="20"/>
                <w:rtl/>
              </w:rPr>
            </w:pPr>
            <w:r w:rsidRPr="000856CB">
              <w:rPr>
                <w:rFonts w:ascii="David" w:hAnsi="David" w:cs="David"/>
                <w:b w:val="0"/>
                <w:bCs w:val="0"/>
                <w:sz w:val="20"/>
                <w:szCs w:val="20"/>
                <w:rtl/>
              </w:rPr>
              <w:t xml:space="preserve">ישראל </w:t>
            </w:r>
          </w:p>
        </w:tc>
        <w:tc>
          <w:tcPr>
            <w:tcW w:w="3921" w:type="dxa"/>
          </w:tcPr>
          <w:p w14:paraId="2C1D77A1" w14:textId="77777777" w:rsidR="0079340F" w:rsidRPr="000856CB" w:rsidRDefault="0079340F" w:rsidP="002B6543">
            <w:pPr>
              <w:spacing w:line="36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0856CB">
              <w:rPr>
                <w:rFonts w:ascii="David" w:hAnsi="David" w:cs="David"/>
                <w:sz w:val="20"/>
                <w:szCs w:val="20"/>
                <w:rtl/>
              </w:rPr>
              <w:t>2.5%</w:t>
            </w:r>
          </w:p>
        </w:tc>
      </w:tr>
    </w:tbl>
    <w:p w14:paraId="20A4B492" w14:textId="77777777" w:rsidR="0079340F" w:rsidRPr="000856CB" w:rsidRDefault="0079340F" w:rsidP="0079340F">
      <w:pPr>
        <w:spacing w:line="360" w:lineRule="auto"/>
        <w:ind w:left="793" w:hanging="284"/>
        <w:jc w:val="both"/>
        <w:rPr>
          <w:rFonts w:ascii="David" w:hAnsi="David" w:cs="David"/>
          <w:sz w:val="24"/>
          <w:szCs w:val="24"/>
          <w:rtl/>
        </w:rPr>
      </w:pPr>
      <w:r w:rsidRPr="000856CB">
        <w:rPr>
          <w:rFonts w:ascii="David" w:hAnsi="David" w:cs="David"/>
          <w:sz w:val="24"/>
          <w:szCs w:val="24"/>
          <w:rtl/>
        </w:rPr>
        <w:tab/>
      </w:r>
      <w:r w:rsidRPr="000856CB">
        <w:rPr>
          <w:rFonts w:ascii="David" w:hAnsi="David" w:cs="David"/>
          <w:b/>
          <w:bCs/>
          <w:sz w:val="18"/>
          <w:szCs w:val="18"/>
          <w:rtl/>
        </w:rPr>
        <w:t>המקור</w:t>
      </w:r>
      <w:r w:rsidRPr="000856CB">
        <w:rPr>
          <w:rFonts w:ascii="David" w:hAnsi="David" w:cs="David"/>
          <w:sz w:val="18"/>
          <w:szCs w:val="18"/>
          <w:rtl/>
        </w:rPr>
        <w:t xml:space="preserve">: עבור בריטניה- </w:t>
      </w:r>
      <w:r w:rsidRPr="000856CB">
        <w:rPr>
          <w:rFonts w:ascii="David" w:hAnsi="David" w:cs="David"/>
          <w:sz w:val="18"/>
          <w:szCs w:val="18"/>
        </w:rPr>
        <w:t>CMA</w:t>
      </w:r>
      <w:r w:rsidRPr="000856CB">
        <w:rPr>
          <w:rFonts w:ascii="David" w:hAnsi="David" w:cs="David"/>
          <w:sz w:val="18"/>
          <w:szCs w:val="18"/>
          <w:rtl/>
        </w:rPr>
        <w:t xml:space="preserve">; עבור ארה"ב- </w:t>
      </w:r>
      <w:r w:rsidRPr="000856CB">
        <w:rPr>
          <w:rFonts w:ascii="David" w:hAnsi="David" w:cs="David"/>
          <w:sz w:val="18"/>
          <w:szCs w:val="18"/>
        </w:rPr>
        <w:t>J.D Power</w:t>
      </w:r>
      <w:r w:rsidRPr="000856CB">
        <w:rPr>
          <w:rFonts w:ascii="David" w:hAnsi="David" w:cs="David"/>
          <w:sz w:val="18"/>
          <w:szCs w:val="18"/>
          <w:rtl/>
        </w:rPr>
        <w:t>; עבור ישראל- דיווחים לפיקוח על הבנקים ועיבודי הפיקוח על הבנקים</w:t>
      </w:r>
      <w:r w:rsidRPr="000856CB">
        <w:rPr>
          <w:rFonts w:ascii="David" w:hAnsi="David" w:cs="David"/>
          <w:sz w:val="24"/>
          <w:szCs w:val="24"/>
          <w:rtl/>
        </w:rPr>
        <w:t>.</w:t>
      </w:r>
    </w:p>
    <w:p w14:paraId="69B00973" w14:textId="77777777" w:rsidR="0079340F" w:rsidRPr="000856CB" w:rsidRDefault="0079340F" w:rsidP="0079340F">
      <w:pPr>
        <w:tabs>
          <w:tab w:val="left" w:pos="567"/>
          <w:tab w:val="left" w:pos="1134"/>
          <w:tab w:val="left" w:pos="1814"/>
          <w:tab w:val="left" w:pos="2665"/>
        </w:tabs>
        <w:spacing w:before="120" w:after="0" w:line="360" w:lineRule="auto"/>
        <w:jc w:val="both"/>
        <w:rPr>
          <w:rFonts w:ascii="David" w:hAnsi="David" w:cs="David"/>
          <w:sz w:val="24"/>
          <w:szCs w:val="24"/>
          <w:rtl/>
        </w:rPr>
      </w:pPr>
      <w:r w:rsidRPr="000856CB">
        <w:rPr>
          <w:rFonts w:ascii="David" w:hAnsi="David" w:cs="David"/>
          <w:sz w:val="24"/>
          <w:szCs w:val="24"/>
          <w:rtl/>
        </w:rPr>
        <w:t xml:space="preserve">שיעור נמוך של העברת פעילות עו"ש צפוי מטבעו, ולו רק מפני האמון שהלקוח רוחש לבנק בהפקידו בו את כספו. </w:t>
      </w:r>
      <w:r w:rsidRPr="000856CB">
        <w:rPr>
          <w:rFonts w:ascii="David" w:eastAsia="Times New Roman" w:hAnsi="David" w:cs="David"/>
          <w:sz w:val="24"/>
          <w:szCs w:val="24"/>
          <w:rtl/>
        </w:rPr>
        <w:t>מסקר שערך ה-</w:t>
      </w:r>
      <w:proofErr w:type="spellStart"/>
      <w:r w:rsidRPr="000856CB">
        <w:rPr>
          <w:rFonts w:ascii="David" w:eastAsia="Times New Roman" w:hAnsi="David" w:cs="David"/>
          <w:sz w:val="24"/>
          <w:szCs w:val="24"/>
        </w:rPr>
        <w:t>BankRate</w:t>
      </w:r>
      <w:proofErr w:type="spellEnd"/>
      <w:r w:rsidRPr="000856CB">
        <w:rPr>
          <w:rStyle w:val="a5"/>
          <w:rFonts w:ascii="David" w:eastAsia="Times New Roman" w:hAnsi="David" w:cs="David"/>
          <w:sz w:val="24"/>
          <w:szCs w:val="24"/>
          <w:rtl/>
        </w:rPr>
        <w:footnoteReference w:id="3"/>
      </w:r>
      <w:r w:rsidRPr="000856CB">
        <w:rPr>
          <w:rFonts w:ascii="David" w:eastAsia="Times New Roman" w:hAnsi="David" w:cs="David"/>
          <w:sz w:val="24"/>
          <w:szCs w:val="24"/>
          <w:rtl/>
        </w:rPr>
        <w:t xml:space="preserve"> עולה </w:t>
      </w:r>
      <w:r w:rsidRPr="000856CB">
        <w:rPr>
          <w:rFonts w:ascii="David" w:hAnsi="David" w:cs="David"/>
          <w:sz w:val="24"/>
          <w:szCs w:val="24"/>
          <w:rtl/>
        </w:rPr>
        <w:t xml:space="preserve">כי הסיבות המרכזיות למעבר בין בנקים בארה"ב הן שינוי מקום המגורים, שינויים במקום העבודה ושינויים במעמד האישי (כגון נשואים או גירושים). רק לאחר מכן באות סיבות הנוגעות למחיר המוצרים, ובהם גובה העמלות, הן בחשבון </w:t>
      </w:r>
      <w:proofErr w:type="spellStart"/>
      <w:r w:rsidRPr="000856CB">
        <w:rPr>
          <w:rFonts w:ascii="David" w:hAnsi="David" w:cs="David"/>
          <w:sz w:val="24"/>
          <w:szCs w:val="24"/>
          <w:rtl/>
        </w:rPr>
        <w:t>העו"ש</w:t>
      </w:r>
      <w:proofErr w:type="spellEnd"/>
      <w:r w:rsidRPr="000856CB">
        <w:rPr>
          <w:rFonts w:ascii="David" w:hAnsi="David" w:cs="David"/>
          <w:sz w:val="24"/>
          <w:szCs w:val="24"/>
          <w:rtl/>
        </w:rPr>
        <w:t xml:space="preserve"> והן בשאר המוצרים. רשות התחרות בבריטניה </w:t>
      </w:r>
      <w:r w:rsidRPr="000856CB">
        <w:rPr>
          <w:rFonts w:ascii="David" w:hAnsi="David" w:cs="David"/>
          <w:sz w:val="24"/>
          <w:szCs w:val="24"/>
        </w:rPr>
        <w:t>(CMA- Competition &amp; Markets Authority)</w:t>
      </w:r>
      <w:r w:rsidRPr="000856CB">
        <w:rPr>
          <w:rFonts w:ascii="David" w:hAnsi="David" w:cs="David"/>
          <w:sz w:val="24"/>
          <w:szCs w:val="24"/>
          <w:rtl/>
        </w:rPr>
        <w:t xml:space="preserve"> מסבירה שלקוחות לא ייטו לעבור בנק – אם לא נתקלו בבעיה נקודתית מול הבנק שלהם –כל עוד הם אינם רואים לנגד עיניהם תועלת פיננסית מהמעבר, בייחוד כאשר חשבון </w:t>
      </w:r>
      <w:proofErr w:type="spellStart"/>
      <w:r w:rsidRPr="000856CB">
        <w:rPr>
          <w:rFonts w:ascii="David" w:hAnsi="David" w:cs="David"/>
          <w:sz w:val="24"/>
          <w:szCs w:val="24"/>
          <w:rtl/>
        </w:rPr>
        <w:t>העו"ש</w:t>
      </w:r>
      <w:proofErr w:type="spellEnd"/>
      <w:r w:rsidRPr="000856CB">
        <w:rPr>
          <w:rFonts w:ascii="David" w:hAnsi="David" w:cs="David"/>
          <w:sz w:val="24"/>
          <w:szCs w:val="24"/>
          <w:rtl/>
        </w:rPr>
        <w:t xml:space="preserve"> עצמו אינו גורר עלויות רבות בעיני הצרכן. </w:t>
      </w:r>
    </w:p>
    <w:p w14:paraId="21675FE7" w14:textId="77777777" w:rsidR="0079340F" w:rsidRPr="000856CB" w:rsidRDefault="0079340F" w:rsidP="0079340F">
      <w:pPr>
        <w:tabs>
          <w:tab w:val="left" w:pos="567"/>
          <w:tab w:val="left" w:pos="1134"/>
          <w:tab w:val="left" w:pos="1814"/>
          <w:tab w:val="left" w:pos="2665"/>
        </w:tabs>
        <w:spacing w:before="120" w:after="0" w:line="360" w:lineRule="auto"/>
        <w:jc w:val="both"/>
        <w:rPr>
          <w:rFonts w:ascii="David" w:hAnsi="David" w:cs="David"/>
          <w:sz w:val="24"/>
          <w:szCs w:val="24"/>
          <w:rtl/>
        </w:rPr>
      </w:pPr>
      <w:r w:rsidRPr="000856CB">
        <w:rPr>
          <w:rFonts w:ascii="David" w:hAnsi="David" w:cs="David"/>
          <w:sz w:val="24"/>
          <w:szCs w:val="24"/>
          <w:rtl/>
        </w:rPr>
        <w:lastRenderedPageBreak/>
        <w:t>בישראל העלות החודשית הממוצעת של ניהול חשבון עו"ש בודד בבנק היא כ-25 ש"ח לחודש. בהשוואה למוצרים פיננסיים אחרים זו אינה עלות גבוהה, וייתכן שהחיסכון הפוטנציאלי בעלויות מהעברת חשבון הבנק, אין בו כדי להניע את הלקוח לפעולה. זאת ועוד, כאשר לקוח שאינו מרוצה מהשירות בבנק ומאופן ניהול החשבון מאיים בעזיבה, הבנק צפוי להציע לו הטבות שונות כדי לשמרו.</w:t>
      </w:r>
    </w:p>
    <w:p w14:paraId="15D6D7EB" w14:textId="77777777" w:rsidR="0079340F" w:rsidRPr="000856CB" w:rsidRDefault="0079340F" w:rsidP="0079340F">
      <w:pPr>
        <w:tabs>
          <w:tab w:val="left" w:pos="567"/>
          <w:tab w:val="left" w:pos="1134"/>
          <w:tab w:val="left" w:pos="1814"/>
          <w:tab w:val="left" w:pos="2665"/>
        </w:tabs>
        <w:spacing w:before="120" w:after="0" w:line="360" w:lineRule="auto"/>
        <w:jc w:val="both"/>
        <w:rPr>
          <w:rFonts w:ascii="David" w:hAnsi="David" w:cs="David"/>
          <w:b/>
          <w:bCs/>
          <w:sz w:val="24"/>
          <w:szCs w:val="24"/>
          <w:u w:val="single"/>
          <w:rtl/>
        </w:rPr>
      </w:pPr>
      <w:r w:rsidRPr="000856CB">
        <w:rPr>
          <w:rFonts w:ascii="David" w:hAnsi="David" w:cs="David"/>
          <w:b/>
          <w:bCs/>
          <w:sz w:val="24"/>
          <w:szCs w:val="24"/>
          <w:u w:val="single"/>
          <w:rtl/>
        </w:rPr>
        <w:t xml:space="preserve">צעירים עוברים יותר </w:t>
      </w:r>
    </w:p>
    <w:p w14:paraId="6E261248" w14:textId="77777777" w:rsidR="0079340F" w:rsidRPr="000856CB" w:rsidRDefault="0079340F" w:rsidP="0079340F">
      <w:pPr>
        <w:tabs>
          <w:tab w:val="left" w:pos="567"/>
          <w:tab w:val="left" w:pos="1134"/>
          <w:tab w:val="left" w:pos="1814"/>
          <w:tab w:val="left" w:pos="2665"/>
        </w:tabs>
        <w:spacing w:before="120" w:after="0" w:line="360" w:lineRule="auto"/>
        <w:jc w:val="both"/>
        <w:rPr>
          <w:rFonts w:ascii="David" w:hAnsi="David" w:cs="David"/>
          <w:sz w:val="24"/>
          <w:szCs w:val="24"/>
          <w:rtl/>
        </w:rPr>
      </w:pPr>
      <w:r w:rsidRPr="000856CB">
        <w:rPr>
          <w:rFonts w:ascii="David" w:hAnsi="David" w:cs="David"/>
          <w:sz w:val="24"/>
          <w:szCs w:val="24"/>
          <w:rtl/>
        </w:rPr>
        <w:t xml:space="preserve">בישראל אצל לקוחות בני 30–40 שיעור ההעברות של חשבונות עו"ש – 3% – גבוה מעט מאשר בכלל אוכלוסיית בעלי חשבונות </w:t>
      </w:r>
      <w:proofErr w:type="spellStart"/>
      <w:r w:rsidRPr="000856CB">
        <w:rPr>
          <w:rFonts w:ascii="David" w:hAnsi="David" w:cs="David"/>
          <w:sz w:val="24"/>
          <w:szCs w:val="24"/>
          <w:rtl/>
        </w:rPr>
        <w:t>העו"ש</w:t>
      </w:r>
      <w:proofErr w:type="spellEnd"/>
      <w:r w:rsidRPr="000856CB">
        <w:rPr>
          <w:rFonts w:ascii="David" w:hAnsi="David" w:cs="David"/>
          <w:sz w:val="24"/>
          <w:szCs w:val="24"/>
          <w:rtl/>
        </w:rPr>
        <w:t>, וזאת בדומה  למגמות בעולם</w:t>
      </w:r>
      <w:r w:rsidRPr="000856CB">
        <w:rPr>
          <w:rStyle w:val="a5"/>
          <w:rFonts w:ascii="David" w:hAnsi="David" w:cs="David"/>
          <w:sz w:val="24"/>
          <w:szCs w:val="24"/>
          <w:rtl/>
        </w:rPr>
        <w:footnoteReference w:id="4"/>
      </w:r>
      <w:r w:rsidRPr="000856CB">
        <w:rPr>
          <w:rFonts w:ascii="David" w:hAnsi="David" w:cs="David"/>
          <w:sz w:val="24"/>
          <w:szCs w:val="24"/>
          <w:rtl/>
        </w:rPr>
        <w:t>: לפי סקרים שנערכו בארה"ב  צעירי דור ה-</w:t>
      </w:r>
      <w:r w:rsidRPr="000856CB">
        <w:rPr>
          <w:rFonts w:ascii="David" w:hAnsi="David" w:cs="David"/>
          <w:sz w:val="24"/>
          <w:szCs w:val="24"/>
        </w:rPr>
        <w:t>Y</w:t>
      </w:r>
      <w:r w:rsidRPr="000856CB">
        <w:rPr>
          <w:rFonts w:ascii="David" w:hAnsi="David" w:cs="David"/>
          <w:sz w:val="24"/>
          <w:szCs w:val="24"/>
          <w:rtl/>
        </w:rPr>
        <w:t xml:space="preserve"> (ילידי שנות ה-80 וה-90), צפויים לעבור מבנק לבנק פי 2.5 מאשר בני 50–70, ופי 1.5 מאשר דור ה-</w:t>
      </w:r>
      <w:r w:rsidRPr="000856CB">
        <w:rPr>
          <w:rFonts w:ascii="David" w:hAnsi="David" w:cs="David"/>
          <w:sz w:val="24"/>
          <w:szCs w:val="24"/>
        </w:rPr>
        <w:t>X</w:t>
      </w:r>
      <w:r w:rsidRPr="000856CB">
        <w:rPr>
          <w:rFonts w:ascii="David" w:hAnsi="David" w:cs="David"/>
          <w:sz w:val="24"/>
          <w:szCs w:val="24"/>
          <w:rtl/>
        </w:rPr>
        <w:t xml:space="preserve"> (ילידי שנות ה-60 וה-70)</w:t>
      </w:r>
      <w:r w:rsidRPr="000856CB">
        <w:rPr>
          <w:rStyle w:val="a5"/>
          <w:rFonts w:ascii="David" w:hAnsi="David" w:cs="David"/>
          <w:sz w:val="24"/>
          <w:szCs w:val="24"/>
          <w:rtl/>
        </w:rPr>
        <w:footnoteReference w:id="5"/>
      </w:r>
      <w:r w:rsidRPr="000856CB">
        <w:rPr>
          <w:rFonts w:ascii="David" w:hAnsi="David" w:cs="David"/>
          <w:sz w:val="24"/>
          <w:szCs w:val="24"/>
          <w:rtl/>
        </w:rPr>
        <w:t xml:space="preserve">. </w:t>
      </w:r>
    </w:p>
    <w:p w14:paraId="45985209" w14:textId="44B8209C" w:rsidR="0079340F" w:rsidRPr="000856CB" w:rsidRDefault="0079340F" w:rsidP="0079340F">
      <w:pPr>
        <w:tabs>
          <w:tab w:val="left" w:pos="567"/>
          <w:tab w:val="left" w:pos="1134"/>
          <w:tab w:val="left" w:pos="1814"/>
          <w:tab w:val="left" w:pos="2665"/>
        </w:tabs>
        <w:spacing w:before="120" w:after="0" w:line="360" w:lineRule="auto"/>
        <w:jc w:val="both"/>
        <w:rPr>
          <w:rFonts w:ascii="David" w:hAnsi="David" w:cs="David"/>
          <w:sz w:val="24"/>
          <w:szCs w:val="24"/>
          <w:rtl/>
        </w:rPr>
      </w:pPr>
      <w:r w:rsidRPr="000856CB">
        <w:rPr>
          <w:rFonts w:ascii="David" w:hAnsi="David" w:cs="David"/>
          <w:sz w:val="24"/>
          <w:szCs w:val="24"/>
          <w:rtl/>
        </w:rPr>
        <w:t>עם הסיבות האפשריות לכך נמנית הירידה בקשר האישי עם הבנק בדור הצעיר יחסית, אשר מנתקת קשר הנאמנות ארוך השנים בין הלקוחות לבנק שלהם. במשך שנים פעלו הלקוחות מול הבנק דרך בנקאי אישי, וכך נוצר קשר אישי בין הלקוח לבנקאי ששירת אותו. עם התפתחות הערוצים הדיגיטליים, המאפשרים ללקוחות צפייה במידע פיננסי וביצוע פעולות בנקאיות רבות יותר ויותר באופן מקוון  (כפי שמתואר בהרחבה בפרק א'</w:t>
      </w:r>
      <w:r w:rsidR="003424CD" w:rsidRPr="000856CB">
        <w:rPr>
          <w:rFonts w:ascii="David" w:hAnsi="David" w:cs="David" w:hint="cs"/>
          <w:sz w:val="24"/>
          <w:szCs w:val="24"/>
          <w:rtl/>
        </w:rPr>
        <w:t xml:space="preserve"> בסקירה השנתית של הפיקוח על הבנקים לשנת </w:t>
      </w:r>
      <w:r w:rsidR="003424CD" w:rsidRPr="000856CB">
        <w:rPr>
          <w:rFonts w:ascii="David" w:hAnsi="David" w:cs="David" w:hint="cs"/>
          <w:sz w:val="24"/>
          <w:szCs w:val="24"/>
          <w:rtl/>
        </w:rPr>
        <w:lastRenderedPageBreak/>
        <w:t>2018 הצפויה להתפרסם בימים הקרובים</w:t>
      </w:r>
      <w:r w:rsidRPr="000856CB">
        <w:rPr>
          <w:rFonts w:ascii="David" w:hAnsi="David" w:cs="David"/>
          <w:sz w:val="24"/>
          <w:szCs w:val="24"/>
          <w:rtl/>
        </w:rPr>
        <w:t xml:space="preserve">) – כמעט אין צורך להתנהל מול פקיד בבנק, ולאותם צרכנים המתנהלים באמצעות אפליקציות אין בנקאי אישי. כתוצאה מכך לבנק "אין פנים" כפי שהיה בשנים שעברו. לכן ככל שיותר לקוחות יעברו לערוצים הדיגיטליים, הקשר בין הבנק ללקוח ילך וייחלש. סיבה אפשרית נוספת לשיעור מעברים גבוה יחסית בפלג אוכלוסייה זה היא ערנות גבוהה יותר למחירים. זאת משום שגילאים אלה נוטלים יותר הלוואות, ולכן מקפידים בניהול כספם. </w:t>
      </w:r>
    </w:p>
    <w:p w14:paraId="7F900319" w14:textId="77777777" w:rsidR="0079340F" w:rsidRPr="000856CB" w:rsidRDefault="0079340F" w:rsidP="0079340F">
      <w:pPr>
        <w:tabs>
          <w:tab w:val="left" w:pos="567"/>
          <w:tab w:val="left" w:pos="1134"/>
          <w:tab w:val="left" w:pos="1814"/>
          <w:tab w:val="left" w:pos="2665"/>
        </w:tabs>
        <w:spacing w:before="120" w:after="0" w:line="360" w:lineRule="auto"/>
        <w:jc w:val="both"/>
        <w:rPr>
          <w:rFonts w:ascii="David" w:hAnsi="David" w:cs="David"/>
          <w:sz w:val="24"/>
          <w:szCs w:val="24"/>
          <w:u w:val="single"/>
          <w:rtl/>
        </w:rPr>
      </w:pPr>
      <w:r w:rsidRPr="000856CB">
        <w:rPr>
          <w:rFonts w:ascii="David" w:hAnsi="David" w:cs="David"/>
          <w:sz w:val="24"/>
          <w:szCs w:val="24"/>
          <w:u w:val="single"/>
          <w:rtl/>
        </w:rPr>
        <w:t>מעבר חשבונות עו"ש –  אינדיקציות לסיבות המעבר</w:t>
      </w:r>
    </w:p>
    <w:p w14:paraId="52D3E27F" w14:textId="28AA068A" w:rsidR="0079340F" w:rsidRPr="000856CB" w:rsidRDefault="0079340F" w:rsidP="00FD62EA">
      <w:pPr>
        <w:tabs>
          <w:tab w:val="left" w:pos="567"/>
          <w:tab w:val="left" w:pos="1134"/>
          <w:tab w:val="left" w:pos="1814"/>
          <w:tab w:val="left" w:pos="2665"/>
        </w:tabs>
        <w:spacing w:before="120" w:after="0" w:line="360" w:lineRule="auto"/>
        <w:jc w:val="both"/>
        <w:rPr>
          <w:rFonts w:ascii="David" w:hAnsi="David" w:cs="David"/>
          <w:sz w:val="24"/>
          <w:szCs w:val="24"/>
          <w:rtl/>
        </w:rPr>
      </w:pPr>
      <w:proofErr w:type="spellStart"/>
      <w:r w:rsidRPr="000856CB">
        <w:rPr>
          <w:rFonts w:ascii="David" w:hAnsi="David" w:cs="David"/>
          <w:sz w:val="24"/>
          <w:szCs w:val="24"/>
          <w:rtl/>
        </w:rPr>
        <w:t>העו"ש</w:t>
      </w:r>
      <w:proofErr w:type="spellEnd"/>
      <w:r w:rsidRPr="000856CB">
        <w:rPr>
          <w:rFonts w:ascii="David" w:hAnsi="David" w:cs="David"/>
          <w:sz w:val="24"/>
          <w:szCs w:val="24"/>
          <w:rtl/>
        </w:rPr>
        <w:t xml:space="preserve"> הוא, כאמור, שירות שעלותו אינה גבוהה יחסית – שלא כשירותים נוספים שהמערכת הבנקאית מציעה ללקוחות, ובראשם הלוואות – בפרט ההלוואות לדיור –  וכן פיקדונות, חסכונות, ותיק ניירות ערך. לנוכח העלות הגבוהה של שירותים אלו נודעת לבחירת הבנק שבו הם יתנהלו חשיבות כלכלית רבה יותר מאשר לבחירת הבנק שבו יתנהל חשבון </w:t>
      </w:r>
      <w:proofErr w:type="spellStart"/>
      <w:r w:rsidRPr="000856CB">
        <w:rPr>
          <w:rFonts w:ascii="David" w:hAnsi="David" w:cs="David"/>
          <w:sz w:val="24"/>
          <w:szCs w:val="24"/>
          <w:rtl/>
        </w:rPr>
        <w:t>העו"ש</w:t>
      </w:r>
      <w:proofErr w:type="spellEnd"/>
      <w:r w:rsidRPr="000856CB">
        <w:rPr>
          <w:rFonts w:ascii="David" w:hAnsi="David" w:cs="David"/>
          <w:sz w:val="24"/>
          <w:szCs w:val="24"/>
          <w:rtl/>
        </w:rPr>
        <w:t>. ואכן, כאשר מתחקים אחר סיבת המעבר מבנק אחד לאחר מוצאים כי</w:t>
      </w:r>
      <w:r w:rsidRPr="000856CB">
        <w:rPr>
          <w:rFonts w:ascii="David" w:hAnsi="David" w:cs="David"/>
          <w:b/>
          <w:bCs/>
          <w:sz w:val="24"/>
          <w:szCs w:val="24"/>
          <w:rtl/>
        </w:rPr>
        <w:t xml:space="preserve"> במרבית המקרים (כ-70% מהמעברים)  נצרך בתקופת המעבר לפחות מוצר אחד נוסף על </w:t>
      </w:r>
      <w:proofErr w:type="spellStart"/>
      <w:r w:rsidRPr="000856CB">
        <w:rPr>
          <w:rFonts w:ascii="David" w:hAnsi="David" w:cs="David"/>
          <w:b/>
          <w:bCs/>
          <w:sz w:val="24"/>
          <w:szCs w:val="24"/>
          <w:rtl/>
        </w:rPr>
        <w:t>העו"ש</w:t>
      </w:r>
      <w:proofErr w:type="spellEnd"/>
      <w:r w:rsidRPr="000856CB">
        <w:rPr>
          <w:rFonts w:ascii="David" w:hAnsi="David" w:cs="David"/>
          <w:b/>
          <w:bCs/>
          <w:sz w:val="24"/>
          <w:szCs w:val="24"/>
          <w:rtl/>
        </w:rPr>
        <w:t xml:space="preserve"> </w:t>
      </w:r>
      <w:r w:rsidRPr="000856CB">
        <w:rPr>
          <w:rFonts w:ascii="David" w:hAnsi="David" w:cs="David"/>
          <w:sz w:val="24"/>
          <w:szCs w:val="24"/>
          <w:rtl/>
        </w:rPr>
        <w:t xml:space="preserve">(איור </w:t>
      </w:r>
      <w:r w:rsidR="00125BEC" w:rsidRPr="000856CB">
        <w:rPr>
          <w:rFonts w:ascii="David" w:hAnsi="David" w:cs="David" w:hint="cs"/>
          <w:sz w:val="24"/>
          <w:szCs w:val="24"/>
          <w:rtl/>
        </w:rPr>
        <w:t>1</w:t>
      </w:r>
      <w:r w:rsidRPr="000856CB">
        <w:rPr>
          <w:rFonts w:ascii="David" w:hAnsi="David" w:cs="David"/>
          <w:sz w:val="24"/>
          <w:szCs w:val="24"/>
          <w:rtl/>
        </w:rPr>
        <w:t xml:space="preserve">). ייתכן אפוא כי אותו מוצר פיננסי  שמספק המתחרה הוא אשר גורם ללקוח לעבור מהבנק שלו אליו. כך בוצעו 9% מהעברות חשבון </w:t>
      </w:r>
      <w:proofErr w:type="spellStart"/>
      <w:r w:rsidRPr="000856CB">
        <w:rPr>
          <w:rFonts w:ascii="David" w:hAnsi="David" w:cs="David"/>
          <w:sz w:val="24"/>
          <w:szCs w:val="24"/>
          <w:rtl/>
        </w:rPr>
        <w:t>העו"ש</w:t>
      </w:r>
      <w:proofErr w:type="spellEnd"/>
      <w:r w:rsidRPr="000856CB">
        <w:rPr>
          <w:rFonts w:ascii="David" w:hAnsi="David" w:cs="David"/>
          <w:sz w:val="24"/>
          <w:szCs w:val="24"/>
          <w:rtl/>
        </w:rPr>
        <w:t xml:space="preserve"> בשנים 2018-2016 יחד עם נטילת הלוואה לדיור (משמע שבשנה הראשונה לפתיחת החשבון נטל הלקוח גם הלוואה לדיור). לקוחות שעברו מבנק לבנק  היו כ-37% מסך </w:t>
      </w:r>
      <w:proofErr w:type="spellStart"/>
      <w:r w:rsidRPr="000856CB">
        <w:rPr>
          <w:rFonts w:ascii="David" w:hAnsi="David" w:cs="David"/>
          <w:sz w:val="24"/>
          <w:szCs w:val="24"/>
          <w:rtl/>
        </w:rPr>
        <w:t>נוטלי</w:t>
      </w:r>
      <w:proofErr w:type="spellEnd"/>
      <w:r w:rsidRPr="000856CB">
        <w:rPr>
          <w:rFonts w:ascii="David" w:hAnsi="David" w:cs="David"/>
          <w:sz w:val="24"/>
          <w:szCs w:val="24"/>
          <w:rtl/>
        </w:rPr>
        <w:t xml:space="preserve"> ההלוואות החדשות לדיור בתקופה האמורה. כ-30% ממעבירי חשבון </w:t>
      </w:r>
      <w:proofErr w:type="spellStart"/>
      <w:r w:rsidRPr="000856CB">
        <w:rPr>
          <w:rFonts w:ascii="David" w:hAnsi="David" w:cs="David"/>
          <w:sz w:val="24"/>
          <w:szCs w:val="24"/>
          <w:rtl/>
        </w:rPr>
        <w:t>העו"ש</w:t>
      </w:r>
      <w:proofErr w:type="spellEnd"/>
      <w:r w:rsidRPr="000856CB">
        <w:rPr>
          <w:rFonts w:ascii="David" w:hAnsi="David" w:cs="David"/>
          <w:sz w:val="24"/>
          <w:szCs w:val="24"/>
          <w:rtl/>
        </w:rPr>
        <w:t xml:space="preserve">  נטלו הלוואה שאינה לדיור או הלוואה </w:t>
      </w:r>
      <w:r w:rsidRPr="000856CB">
        <w:rPr>
          <w:rFonts w:ascii="David" w:hAnsi="David" w:cs="David"/>
          <w:sz w:val="24"/>
          <w:szCs w:val="24"/>
          <w:rtl/>
        </w:rPr>
        <w:lastRenderedPageBreak/>
        <w:t>בדרך של ניצול מסגרת עו"ש, כ-28% מהעוברים פתחו חשבון פיקדון (לעומת כ-3% חשבונות פיקדון חדשים שנפתחו בממוצע בשנה), וכ-10% פתחו תיק ניירות ערך (לעומת פחות מ-1% חשבונות ניירות ערך חדשים שנפתחו בתקופה</w:t>
      </w:r>
      <w:r w:rsidR="00FD62EA">
        <w:rPr>
          <w:rFonts w:ascii="David" w:hAnsi="David" w:cs="David" w:hint="cs"/>
          <w:sz w:val="24"/>
          <w:szCs w:val="24"/>
          <w:rtl/>
        </w:rPr>
        <w:t xml:space="preserve">; </w:t>
      </w:r>
      <w:r w:rsidRPr="000856CB">
        <w:rPr>
          <w:rFonts w:ascii="David" w:hAnsi="David" w:cs="David"/>
          <w:sz w:val="24"/>
          <w:szCs w:val="24"/>
          <w:rtl/>
        </w:rPr>
        <w:t xml:space="preserve">לוח 2). </w:t>
      </w:r>
    </w:p>
    <w:p w14:paraId="25A50B43" w14:textId="5F716DDF" w:rsidR="0079340F" w:rsidRPr="000856CB" w:rsidRDefault="0079340F" w:rsidP="00125BEC">
      <w:pPr>
        <w:tabs>
          <w:tab w:val="left" w:pos="567"/>
          <w:tab w:val="left" w:pos="1134"/>
          <w:tab w:val="left" w:pos="1814"/>
          <w:tab w:val="left" w:pos="2665"/>
        </w:tabs>
        <w:spacing w:after="0" w:line="360" w:lineRule="auto"/>
        <w:jc w:val="center"/>
        <w:rPr>
          <w:rFonts w:ascii="David" w:hAnsi="David" w:cs="David"/>
          <w:b/>
          <w:bCs/>
          <w:sz w:val="20"/>
          <w:szCs w:val="20"/>
          <w:u w:val="single"/>
          <w:rtl/>
        </w:rPr>
      </w:pPr>
      <w:r w:rsidRPr="000856CB">
        <w:rPr>
          <w:rFonts w:ascii="David" w:hAnsi="David" w:cs="David"/>
          <w:b/>
          <w:bCs/>
          <w:sz w:val="20"/>
          <w:szCs w:val="20"/>
          <w:u w:val="single"/>
          <w:rtl/>
        </w:rPr>
        <w:t>לוח 2</w:t>
      </w:r>
    </w:p>
    <w:p w14:paraId="47ADDD1C" w14:textId="77777777" w:rsidR="0079340F" w:rsidRPr="000856CB" w:rsidRDefault="0079340F" w:rsidP="0079340F">
      <w:pPr>
        <w:tabs>
          <w:tab w:val="left" w:pos="567"/>
          <w:tab w:val="left" w:pos="1134"/>
          <w:tab w:val="left" w:pos="1814"/>
          <w:tab w:val="left" w:pos="2665"/>
        </w:tabs>
        <w:spacing w:after="0" w:line="360" w:lineRule="auto"/>
        <w:jc w:val="center"/>
        <w:rPr>
          <w:rFonts w:ascii="David" w:hAnsi="David" w:cs="David"/>
          <w:b/>
          <w:bCs/>
          <w:sz w:val="20"/>
          <w:szCs w:val="20"/>
          <w:u w:val="single"/>
          <w:rtl/>
        </w:rPr>
      </w:pPr>
      <w:r w:rsidRPr="000856CB">
        <w:rPr>
          <w:rFonts w:ascii="David" w:hAnsi="David" w:cs="David"/>
          <w:b/>
          <w:bCs/>
          <w:sz w:val="20"/>
          <w:szCs w:val="20"/>
          <w:u w:val="single"/>
          <w:rtl/>
        </w:rPr>
        <w:t>התפלגות</w:t>
      </w:r>
      <w:r w:rsidRPr="000856CB">
        <w:rPr>
          <w:rFonts w:ascii="David" w:hAnsi="David" w:cs="David"/>
          <w:b/>
          <w:bCs/>
          <w:sz w:val="20"/>
          <w:szCs w:val="20"/>
          <w:u w:val="single"/>
          <w:vertAlign w:val="superscript"/>
          <w:rtl/>
        </w:rPr>
        <w:t>1</w:t>
      </w:r>
      <w:r w:rsidRPr="000856CB">
        <w:rPr>
          <w:rFonts w:ascii="David" w:hAnsi="David" w:cs="David"/>
          <w:b/>
          <w:bCs/>
          <w:sz w:val="20"/>
          <w:szCs w:val="20"/>
          <w:u w:val="single"/>
          <w:rtl/>
        </w:rPr>
        <w:t xml:space="preserve"> העוברים, לפי סוג המוצרים הנוספים הנצרכים</w:t>
      </w:r>
      <w:r w:rsidRPr="000856CB">
        <w:rPr>
          <w:rFonts w:ascii="David" w:hAnsi="David" w:cs="David"/>
          <w:b/>
          <w:bCs/>
          <w:sz w:val="20"/>
          <w:szCs w:val="20"/>
          <w:u w:val="single"/>
          <w:vertAlign w:val="superscript"/>
          <w:rtl/>
        </w:rPr>
        <w:t>2</w:t>
      </w:r>
      <w:r w:rsidRPr="000856CB">
        <w:rPr>
          <w:rFonts w:ascii="David" w:hAnsi="David" w:cs="David"/>
          <w:b/>
          <w:bCs/>
          <w:sz w:val="20"/>
          <w:szCs w:val="20"/>
          <w:u w:val="single"/>
          <w:rtl/>
        </w:rPr>
        <w:t xml:space="preserve"> בנוסף לחשבון </w:t>
      </w:r>
      <w:proofErr w:type="spellStart"/>
      <w:r w:rsidRPr="000856CB">
        <w:rPr>
          <w:rFonts w:ascii="David" w:hAnsi="David" w:cs="David"/>
          <w:b/>
          <w:bCs/>
          <w:sz w:val="20"/>
          <w:szCs w:val="20"/>
          <w:u w:val="single"/>
          <w:rtl/>
        </w:rPr>
        <w:t>העו"ש</w:t>
      </w:r>
      <w:proofErr w:type="spellEnd"/>
      <w:r w:rsidRPr="000856CB">
        <w:rPr>
          <w:rFonts w:ascii="David" w:hAnsi="David" w:cs="David"/>
          <w:b/>
          <w:bCs/>
          <w:sz w:val="20"/>
          <w:szCs w:val="20"/>
          <w:u w:val="single"/>
          <w:rtl/>
        </w:rPr>
        <w:t xml:space="preserve"> בתקופת פתיחת החשבון, סך המערכת הבנקאית, ממוצע 2018-2016</w:t>
      </w:r>
    </w:p>
    <w:tbl>
      <w:tblPr>
        <w:tblStyle w:val="12"/>
        <w:bidiVisual/>
        <w:tblW w:w="0" w:type="auto"/>
        <w:tblInd w:w="901" w:type="dxa"/>
        <w:tblLook w:val="04A0" w:firstRow="1" w:lastRow="0" w:firstColumn="1" w:lastColumn="0" w:noHBand="0" w:noVBand="1"/>
      </w:tblPr>
      <w:tblGrid>
        <w:gridCol w:w="3832"/>
        <w:gridCol w:w="2257"/>
      </w:tblGrid>
      <w:tr w:rsidR="000856CB" w:rsidRPr="000856CB" w14:paraId="71D33B12" w14:textId="77777777" w:rsidTr="002B65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2" w:type="dxa"/>
          </w:tcPr>
          <w:p w14:paraId="740857DB" w14:textId="77777777" w:rsidR="0079340F" w:rsidRPr="000856CB" w:rsidRDefault="0079340F" w:rsidP="002B6543">
            <w:pPr>
              <w:spacing w:line="360" w:lineRule="auto"/>
              <w:jc w:val="both"/>
              <w:rPr>
                <w:rFonts w:ascii="David" w:hAnsi="David" w:cs="David"/>
                <w:sz w:val="20"/>
                <w:szCs w:val="20"/>
                <w:rtl/>
              </w:rPr>
            </w:pPr>
            <w:r w:rsidRPr="000856CB">
              <w:rPr>
                <w:rFonts w:ascii="David" w:hAnsi="David" w:cs="David"/>
                <w:sz w:val="20"/>
                <w:szCs w:val="20"/>
                <w:rtl/>
              </w:rPr>
              <w:t>מוצר</w:t>
            </w:r>
          </w:p>
        </w:tc>
        <w:tc>
          <w:tcPr>
            <w:tcW w:w="2257" w:type="dxa"/>
          </w:tcPr>
          <w:p w14:paraId="7F1F60D8" w14:textId="77777777" w:rsidR="0079340F" w:rsidRPr="000856CB" w:rsidRDefault="0079340F" w:rsidP="002B6543">
            <w:pPr>
              <w:spacing w:line="360" w:lineRule="auto"/>
              <w:jc w:val="both"/>
              <w:cnfStyle w:val="100000000000" w:firstRow="1" w:lastRow="0" w:firstColumn="0" w:lastColumn="0" w:oddVBand="0" w:evenVBand="0" w:oddHBand="0" w:evenHBand="0" w:firstRowFirstColumn="0" w:firstRowLastColumn="0" w:lastRowFirstColumn="0" w:lastRowLastColumn="0"/>
              <w:rPr>
                <w:rFonts w:ascii="David" w:hAnsi="David" w:cs="David"/>
                <w:sz w:val="20"/>
                <w:szCs w:val="20"/>
                <w:rtl/>
              </w:rPr>
            </w:pPr>
            <w:r w:rsidRPr="000856CB">
              <w:rPr>
                <w:rFonts w:ascii="David" w:hAnsi="David" w:cs="David"/>
                <w:sz w:val="20"/>
                <w:szCs w:val="20"/>
                <w:rtl/>
              </w:rPr>
              <w:t>שיעור בקרב העוברים</w:t>
            </w:r>
          </w:p>
        </w:tc>
      </w:tr>
      <w:tr w:rsidR="000856CB" w:rsidRPr="000856CB" w14:paraId="200214FE" w14:textId="77777777" w:rsidTr="002B6543">
        <w:tc>
          <w:tcPr>
            <w:cnfStyle w:val="001000000000" w:firstRow="0" w:lastRow="0" w:firstColumn="1" w:lastColumn="0" w:oddVBand="0" w:evenVBand="0" w:oddHBand="0" w:evenHBand="0" w:firstRowFirstColumn="0" w:firstRowLastColumn="0" w:lastRowFirstColumn="0" w:lastRowLastColumn="0"/>
            <w:tcW w:w="3832" w:type="dxa"/>
          </w:tcPr>
          <w:p w14:paraId="4F8E2470" w14:textId="77777777" w:rsidR="0079340F" w:rsidRPr="000856CB" w:rsidRDefault="0079340F" w:rsidP="002B6543">
            <w:pPr>
              <w:spacing w:line="360" w:lineRule="auto"/>
              <w:jc w:val="both"/>
              <w:rPr>
                <w:rFonts w:ascii="David" w:hAnsi="David" w:cs="David"/>
                <w:b w:val="0"/>
                <w:bCs w:val="0"/>
                <w:sz w:val="20"/>
                <w:szCs w:val="20"/>
                <w:rtl/>
              </w:rPr>
            </w:pPr>
            <w:r w:rsidRPr="000856CB">
              <w:rPr>
                <w:rFonts w:ascii="David" w:hAnsi="David" w:cs="David"/>
                <w:b w:val="0"/>
                <w:bCs w:val="0"/>
                <w:sz w:val="20"/>
                <w:szCs w:val="20"/>
                <w:rtl/>
              </w:rPr>
              <w:t>הלוואה שאינה לדיור או עם ניצול מסגרות עו"ש</w:t>
            </w:r>
          </w:p>
        </w:tc>
        <w:tc>
          <w:tcPr>
            <w:tcW w:w="2257" w:type="dxa"/>
          </w:tcPr>
          <w:p w14:paraId="1B18C31E" w14:textId="77777777" w:rsidR="0079340F" w:rsidRPr="000856CB" w:rsidRDefault="0079340F" w:rsidP="002B6543">
            <w:pPr>
              <w:spacing w:line="36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0856CB">
              <w:rPr>
                <w:rFonts w:ascii="David" w:hAnsi="David" w:cs="David"/>
                <w:sz w:val="20"/>
                <w:szCs w:val="20"/>
                <w:rtl/>
              </w:rPr>
              <w:t>30%</w:t>
            </w:r>
          </w:p>
        </w:tc>
      </w:tr>
      <w:tr w:rsidR="000856CB" w:rsidRPr="000856CB" w14:paraId="46DEF9E7" w14:textId="77777777" w:rsidTr="002B6543">
        <w:tc>
          <w:tcPr>
            <w:cnfStyle w:val="001000000000" w:firstRow="0" w:lastRow="0" w:firstColumn="1" w:lastColumn="0" w:oddVBand="0" w:evenVBand="0" w:oddHBand="0" w:evenHBand="0" w:firstRowFirstColumn="0" w:firstRowLastColumn="0" w:lastRowFirstColumn="0" w:lastRowLastColumn="0"/>
            <w:tcW w:w="3832" w:type="dxa"/>
          </w:tcPr>
          <w:p w14:paraId="0AEC0581" w14:textId="77777777" w:rsidR="0079340F" w:rsidRPr="000856CB" w:rsidRDefault="0079340F" w:rsidP="002B6543">
            <w:pPr>
              <w:spacing w:line="360" w:lineRule="auto"/>
              <w:jc w:val="both"/>
              <w:rPr>
                <w:rFonts w:ascii="David" w:hAnsi="David" w:cs="David"/>
                <w:b w:val="0"/>
                <w:bCs w:val="0"/>
                <w:sz w:val="20"/>
                <w:szCs w:val="20"/>
                <w:rtl/>
              </w:rPr>
            </w:pPr>
            <w:r w:rsidRPr="000856CB">
              <w:rPr>
                <w:rFonts w:ascii="David" w:hAnsi="David" w:cs="David"/>
                <w:b w:val="0"/>
                <w:bCs w:val="0"/>
                <w:sz w:val="20"/>
                <w:szCs w:val="20"/>
                <w:rtl/>
              </w:rPr>
              <w:t>פיקדון</w:t>
            </w:r>
          </w:p>
        </w:tc>
        <w:tc>
          <w:tcPr>
            <w:tcW w:w="2257" w:type="dxa"/>
          </w:tcPr>
          <w:p w14:paraId="1B9BE64E" w14:textId="77777777" w:rsidR="0079340F" w:rsidRPr="000856CB" w:rsidRDefault="0079340F" w:rsidP="002B6543">
            <w:pPr>
              <w:spacing w:line="36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0856CB">
              <w:rPr>
                <w:rFonts w:ascii="David" w:hAnsi="David" w:cs="David"/>
                <w:sz w:val="20"/>
                <w:szCs w:val="20"/>
                <w:rtl/>
              </w:rPr>
              <w:t>28%</w:t>
            </w:r>
          </w:p>
        </w:tc>
      </w:tr>
      <w:tr w:rsidR="000856CB" w:rsidRPr="000856CB" w14:paraId="58144AA3" w14:textId="77777777" w:rsidTr="002B6543">
        <w:tc>
          <w:tcPr>
            <w:cnfStyle w:val="001000000000" w:firstRow="0" w:lastRow="0" w:firstColumn="1" w:lastColumn="0" w:oddVBand="0" w:evenVBand="0" w:oddHBand="0" w:evenHBand="0" w:firstRowFirstColumn="0" w:firstRowLastColumn="0" w:lastRowFirstColumn="0" w:lastRowLastColumn="0"/>
            <w:tcW w:w="3832" w:type="dxa"/>
          </w:tcPr>
          <w:p w14:paraId="7325FC44" w14:textId="77777777" w:rsidR="0079340F" w:rsidRPr="000856CB" w:rsidRDefault="0079340F" w:rsidP="002B6543">
            <w:pPr>
              <w:spacing w:line="360" w:lineRule="auto"/>
              <w:jc w:val="both"/>
              <w:rPr>
                <w:rFonts w:ascii="David" w:hAnsi="David" w:cs="David"/>
                <w:b w:val="0"/>
                <w:bCs w:val="0"/>
                <w:sz w:val="20"/>
                <w:szCs w:val="20"/>
                <w:rtl/>
              </w:rPr>
            </w:pPr>
            <w:r w:rsidRPr="000856CB">
              <w:rPr>
                <w:rFonts w:ascii="David" w:hAnsi="David" w:cs="David"/>
                <w:b w:val="0"/>
                <w:bCs w:val="0"/>
                <w:sz w:val="20"/>
                <w:szCs w:val="20"/>
                <w:rtl/>
              </w:rPr>
              <w:t>תיק ני"ע</w:t>
            </w:r>
          </w:p>
        </w:tc>
        <w:tc>
          <w:tcPr>
            <w:tcW w:w="2257" w:type="dxa"/>
          </w:tcPr>
          <w:p w14:paraId="134BA562" w14:textId="77777777" w:rsidR="0079340F" w:rsidRPr="000856CB" w:rsidRDefault="0079340F" w:rsidP="002B6543">
            <w:pPr>
              <w:spacing w:line="36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0856CB">
              <w:rPr>
                <w:rFonts w:ascii="David" w:hAnsi="David" w:cs="David"/>
                <w:sz w:val="20"/>
                <w:szCs w:val="20"/>
                <w:rtl/>
              </w:rPr>
              <w:t>10%</w:t>
            </w:r>
          </w:p>
        </w:tc>
      </w:tr>
      <w:tr w:rsidR="000856CB" w:rsidRPr="000856CB" w14:paraId="0D2F0672" w14:textId="77777777" w:rsidTr="002B6543">
        <w:tc>
          <w:tcPr>
            <w:cnfStyle w:val="001000000000" w:firstRow="0" w:lastRow="0" w:firstColumn="1" w:lastColumn="0" w:oddVBand="0" w:evenVBand="0" w:oddHBand="0" w:evenHBand="0" w:firstRowFirstColumn="0" w:firstRowLastColumn="0" w:lastRowFirstColumn="0" w:lastRowLastColumn="0"/>
            <w:tcW w:w="3832" w:type="dxa"/>
          </w:tcPr>
          <w:p w14:paraId="1D80253C" w14:textId="77777777" w:rsidR="0079340F" w:rsidRPr="000856CB" w:rsidRDefault="0079340F" w:rsidP="002B6543">
            <w:pPr>
              <w:spacing w:line="360" w:lineRule="auto"/>
              <w:jc w:val="both"/>
              <w:rPr>
                <w:rFonts w:ascii="David" w:hAnsi="David" w:cs="David"/>
                <w:b w:val="0"/>
                <w:bCs w:val="0"/>
                <w:sz w:val="20"/>
                <w:szCs w:val="20"/>
                <w:rtl/>
              </w:rPr>
            </w:pPr>
            <w:r w:rsidRPr="000856CB">
              <w:rPr>
                <w:rFonts w:ascii="David" w:hAnsi="David" w:cs="David"/>
                <w:b w:val="0"/>
                <w:bCs w:val="0"/>
                <w:sz w:val="20"/>
                <w:szCs w:val="20"/>
                <w:rtl/>
              </w:rPr>
              <w:t>הלוואה לדיור</w:t>
            </w:r>
          </w:p>
        </w:tc>
        <w:tc>
          <w:tcPr>
            <w:tcW w:w="2257" w:type="dxa"/>
          </w:tcPr>
          <w:p w14:paraId="5821365A" w14:textId="77777777" w:rsidR="0079340F" w:rsidRPr="000856CB" w:rsidRDefault="0079340F" w:rsidP="002B6543">
            <w:pPr>
              <w:spacing w:line="36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0856CB">
              <w:rPr>
                <w:rFonts w:ascii="David" w:hAnsi="David" w:cs="David"/>
                <w:sz w:val="20"/>
                <w:szCs w:val="20"/>
                <w:rtl/>
              </w:rPr>
              <w:t>9%</w:t>
            </w:r>
          </w:p>
        </w:tc>
      </w:tr>
      <w:tr w:rsidR="000856CB" w:rsidRPr="000856CB" w14:paraId="544CEABC" w14:textId="77777777" w:rsidTr="002B6543">
        <w:tc>
          <w:tcPr>
            <w:cnfStyle w:val="001000000000" w:firstRow="0" w:lastRow="0" w:firstColumn="1" w:lastColumn="0" w:oddVBand="0" w:evenVBand="0" w:oddHBand="0" w:evenHBand="0" w:firstRowFirstColumn="0" w:firstRowLastColumn="0" w:lastRowFirstColumn="0" w:lastRowLastColumn="0"/>
            <w:tcW w:w="3832" w:type="dxa"/>
          </w:tcPr>
          <w:p w14:paraId="6016FE88" w14:textId="77777777" w:rsidR="0079340F" w:rsidRPr="000856CB" w:rsidRDefault="0079340F" w:rsidP="002B6543">
            <w:pPr>
              <w:spacing w:line="360" w:lineRule="auto"/>
              <w:jc w:val="both"/>
              <w:rPr>
                <w:rFonts w:ascii="David" w:hAnsi="David" w:cs="David"/>
                <w:b w:val="0"/>
                <w:bCs w:val="0"/>
                <w:sz w:val="20"/>
                <w:szCs w:val="20"/>
                <w:rtl/>
              </w:rPr>
            </w:pPr>
            <w:r w:rsidRPr="000856CB">
              <w:rPr>
                <w:rFonts w:ascii="David" w:hAnsi="David" w:cs="David"/>
                <w:b w:val="0"/>
                <w:bCs w:val="0"/>
                <w:sz w:val="20"/>
                <w:szCs w:val="20"/>
                <w:rtl/>
              </w:rPr>
              <w:t>ללא מוצר נוסף (חשבון עו"ש בלבד)</w:t>
            </w:r>
          </w:p>
        </w:tc>
        <w:tc>
          <w:tcPr>
            <w:tcW w:w="2257" w:type="dxa"/>
          </w:tcPr>
          <w:p w14:paraId="6D2F8D4E" w14:textId="77777777" w:rsidR="0079340F" w:rsidRPr="000856CB" w:rsidRDefault="0079340F" w:rsidP="002B6543">
            <w:pPr>
              <w:spacing w:line="36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0856CB">
              <w:rPr>
                <w:rFonts w:ascii="David" w:hAnsi="David" w:cs="David"/>
                <w:sz w:val="20"/>
                <w:szCs w:val="20"/>
                <w:rtl/>
              </w:rPr>
              <w:t>29%</w:t>
            </w:r>
          </w:p>
        </w:tc>
      </w:tr>
    </w:tbl>
    <w:p w14:paraId="25D622D0" w14:textId="77777777" w:rsidR="0079340F" w:rsidRPr="000856CB" w:rsidRDefault="0079340F" w:rsidP="0079340F">
      <w:pPr>
        <w:tabs>
          <w:tab w:val="left" w:pos="567"/>
          <w:tab w:val="left" w:pos="1134"/>
          <w:tab w:val="left" w:pos="1814"/>
          <w:tab w:val="left" w:pos="2665"/>
        </w:tabs>
        <w:spacing w:after="0" w:line="240" w:lineRule="auto"/>
        <w:ind w:left="935"/>
        <w:jc w:val="both"/>
        <w:rPr>
          <w:rFonts w:ascii="David" w:hAnsi="David" w:cs="David"/>
          <w:sz w:val="18"/>
          <w:szCs w:val="18"/>
        </w:rPr>
      </w:pPr>
      <w:r w:rsidRPr="000856CB">
        <w:rPr>
          <w:rFonts w:ascii="David" w:hAnsi="David" w:cs="David"/>
          <w:sz w:val="16"/>
          <w:szCs w:val="16"/>
          <w:vertAlign w:val="superscript"/>
          <w:rtl/>
        </w:rPr>
        <w:t>1</w:t>
      </w:r>
      <w:r w:rsidRPr="000856CB">
        <w:rPr>
          <w:rFonts w:ascii="David" w:hAnsi="David" w:cs="David"/>
          <w:sz w:val="18"/>
          <w:szCs w:val="18"/>
          <w:rtl/>
        </w:rPr>
        <w:t xml:space="preserve"> תיתכן חפיפה בין צריכת המוצרים השונים, ולכן ההתפלגות אינה מסתכמת לכדי 100%.</w:t>
      </w:r>
    </w:p>
    <w:p w14:paraId="23024A59" w14:textId="77777777" w:rsidR="0079340F" w:rsidRPr="000856CB" w:rsidRDefault="0079340F" w:rsidP="0079340F">
      <w:pPr>
        <w:tabs>
          <w:tab w:val="left" w:pos="567"/>
          <w:tab w:val="left" w:pos="1134"/>
          <w:tab w:val="left" w:pos="1814"/>
          <w:tab w:val="left" w:pos="2665"/>
        </w:tabs>
        <w:spacing w:after="0" w:line="240" w:lineRule="auto"/>
        <w:ind w:left="935"/>
        <w:jc w:val="both"/>
        <w:rPr>
          <w:rFonts w:ascii="David" w:hAnsi="David" w:cs="David"/>
          <w:sz w:val="18"/>
          <w:szCs w:val="18"/>
          <w:rtl/>
        </w:rPr>
      </w:pPr>
      <w:r w:rsidRPr="000856CB">
        <w:rPr>
          <w:rFonts w:ascii="David" w:hAnsi="David" w:cs="David"/>
          <w:sz w:val="18"/>
          <w:szCs w:val="18"/>
          <w:vertAlign w:val="superscript"/>
          <w:rtl/>
        </w:rPr>
        <w:t xml:space="preserve">2 </w:t>
      </w:r>
      <w:r w:rsidRPr="000856CB">
        <w:rPr>
          <w:rFonts w:ascii="David" w:hAnsi="David" w:cs="David"/>
          <w:sz w:val="18"/>
          <w:szCs w:val="18"/>
          <w:rtl/>
        </w:rPr>
        <w:t>המוצרים הנוספים אשר נבחנו במסגרת ניתוח זה הם: הלוואה לדיור, הלוואה שאינה לדיור, פיקדון ותיק ניירות ערך.</w:t>
      </w:r>
    </w:p>
    <w:p w14:paraId="29EB086F" w14:textId="77777777" w:rsidR="0079340F" w:rsidRPr="000856CB" w:rsidRDefault="0079340F" w:rsidP="0079340F">
      <w:pPr>
        <w:tabs>
          <w:tab w:val="left" w:pos="567"/>
          <w:tab w:val="left" w:pos="1134"/>
          <w:tab w:val="left" w:pos="1814"/>
          <w:tab w:val="left" w:pos="2665"/>
        </w:tabs>
        <w:spacing w:after="0" w:line="240" w:lineRule="auto"/>
        <w:ind w:left="935"/>
        <w:jc w:val="both"/>
        <w:rPr>
          <w:rFonts w:ascii="David" w:hAnsi="David" w:cs="David"/>
          <w:sz w:val="18"/>
          <w:szCs w:val="18"/>
          <w:rtl/>
        </w:rPr>
      </w:pPr>
      <w:r w:rsidRPr="000856CB">
        <w:rPr>
          <w:rFonts w:ascii="David" w:hAnsi="David" w:cs="David"/>
          <w:sz w:val="18"/>
          <w:szCs w:val="18"/>
          <w:rtl/>
        </w:rPr>
        <w:t>המקור: דיווחים לפיקוח על הבנקים ועיבודי הפיקוח על הבנקים.</w:t>
      </w:r>
    </w:p>
    <w:p w14:paraId="38AF4478" w14:textId="77777777" w:rsidR="0079340F" w:rsidRPr="000856CB" w:rsidRDefault="0079340F" w:rsidP="0079340F">
      <w:pPr>
        <w:tabs>
          <w:tab w:val="left" w:pos="567"/>
          <w:tab w:val="left" w:pos="1134"/>
          <w:tab w:val="left" w:pos="1814"/>
          <w:tab w:val="left" w:pos="2665"/>
        </w:tabs>
        <w:spacing w:after="0" w:line="240" w:lineRule="auto"/>
        <w:ind w:left="935"/>
        <w:jc w:val="both"/>
        <w:rPr>
          <w:rFonts w:ascii="David" w:hAnsi="David" w:cs="David"/>
          <w:sz w:val="18"/>
          <w:szCs w:val="18"/>
          <w:rtl/>
        </w:rPr>
      </w:pPr>
    </w:p>
    <w:p w14:paraId="0B607AA7" w14:textId="542F6828" w:rsidR="0079340F" w:rsidRDefault="0079340F" w:rsidP="0079340F">
      <w:pPr>
        <w:tabs>
          <w:tab w:val="left" w:pos="567"/>
          <w:tab w:val="left" w:pos="1134"/>
          <w:tab w:val="left" w:pos="1814"/>
          <w:tab w:val="left" w:pos="2665"/>
        </w:tabs>
        <w:spacing w:before="120" w:after="0" w:line="360" w:lineRule="auto"/>
        <w:jc w:val="center"/>
        <w:rPr>
          <w:rFonts w:ascii="David" w:hAnsi="David" w:cs="David"/>
          <w:b/>
          <w:bCs/>
          <w:u w:val="single"/>
          <w:rtl/>
        </w:rPr>
      </w:pPr>
    </w:p>
    <w:p w14:paraId="39BBA5FE" w14:textId="77777777" w:rsidR="00FD62EA" w:rsidRPr="000856CB" w:rsidRDefault="00FD62EA" w:rsidP="0079340F">
      <w:pPr>
        <w:tabs>
          <w:tab w:val="left" w:pos="567"/>
          <w:tab w:val="left" w:pos="1134"/>
          <w:tab w:val="left" w:pos="1814"/>
          <w:tab w:val="left" w:pos="2665"/>
        </w:tabs>
        <w:spacing w:before="120" w:after="0" w:line="360" w:lineRule="auto"/>
        <w:jc w:val="center"/>
        <w:rPr>
          <w:rFonts w:ascii="David" w:hAnsi="David" w:cs="David"/>
          <w:b/>
          <w:bCs/>
          <w:u w:val="single"/>
          <w:rtl/>
        </w:rPr>
      </w:pPr>
    </w:p>
    <w:p w14:paraId="0F4E1DE8" w14:textId="5E7B0FDF" w:rsidR="0079340F" w:rsidRPr="000856CB" w:rsidRDefault="0079340F" w:rsidP="00125BEC">
      <w:pPr>
        <w:tabs>
          <w:tab w:val="left" w:pos="567"/>
          <w:tab w:val="left" w:pos="1134"/>
          <w:tab w:val="left" w:pos="1814"/>
          <w:tab w:val="left" w:pos="2665"/>
        </w:tabs>
        <w:spacing w:after="0" w:line="360" w:lineRule="auto"/>
        <w:jc w:val="center"/>
        <w:rPr>
          <w:rFonts w:ascii="David" w:hAnsi="David" w:cs="David"/>
          <w:rtl/>
        </w:rPr>
      </w:pPr>
      <w:r w:rsidRPr="000856CB">
        <w:rPr>
          <w:rFonts w:ascii="David" w:hAnsi="David" w:cs="David"/>
          <w:rtl/>
        </w:rPr>
        <w:t xml:space="preserve">איור </w:t>
      </w:r>
      <w:r w:rsidR="00125BEC" w:rsidRPr="000856CB">
        <w:rPr>
          <w:rFonts w:ascii="David" w:hAnsi="David" w:cs="David" w:hint="cs"/>
          <w:rtl/>
        </w:rPr>
        <w:t>1</w:t>
      </w:r>
    </w:p>
    <w:p w14:paraId="42DDFA77" w14:textId="4145BE2E" w:rsidR="0079340F" w:rsidRPr="000856CB" w:rsidRDefault="0079340F" w:rsidP="00125BEC">
      <w:pPr>
        <w:tabs>
          <w:tab w:val="left" w:pos="567"/>
          <w:tab w:val="left" w:pos="1134"/>
          <w:tab w:val="left" w:pos="1814"/>
          <w:tab w:val="left" w:pos="2665"/>
        </w:tabs>
        <w:spacing w:after="0" w:line="360" w:lineRule="auto"/>
        <w:jc w:val="center"/>
        <w:rPr>
          <w:rFonts w:ascii="David" w:hAnsi="David" w:cs="David"/>
          <w:b/>
          <w:bCs/>
          <w:rtl/>
        </w:rPr>
      </w:pPr>
      <w:r w:rsidRPr="000856CB">
        <w:rPr>
          <w:rFonts w:ascii="David" w:hAnsi="David" w:cs="David"/>
          <w:b/>
          <w:bCs/>
          <w:rtl/>
        </w:rPr>
        <w:lastRenderedPageBreak/>
        <w:t>בכ-7</w:t>
      </w:r>
      <w:r w:rsidR="00125BEC" w:rsidRPr="000856CB">
        <w:rPr>
          <w:rFonts w:ascii="David" w:hAnsi="David" w:cs="David" w:hint="cs"/>
          <w:b/>
          <w:bCs/>
          <w:rtl/>
        </w:rPr>
        <w:t>1</w:t>
      </w:r>
      <w:r w:rsidRPr="000856CB">
        <w:rPr>
          <w:rFonts w:ascii="David" w:hAnsi="David" w:cs="David"/>
          <w:b/>
          <w:bCs/>
          <w:rtl/>
        </w:rPr>
        <w:t>% מהמקרים שבהם לקוח מעביר חשבון עו"ש לבנק אחר הוא צורך מוצרים פיננסיים נוספים לעו"ש</w:t>
      </w:r>
    </w:p>
    <w:p w14:paraId="58DE6F03" w14:textId="1D54910E" w:rsidR="0079340F" w:rsidRPr="000856CB" w:rsidRDefault="00125BEC" w:rsidP="0079340F">
      <w:pPr>
        <w:tabs>
          <w:tab w:val="left" w:pos="567"/>
          <w:tab w:val="left" w:pos="1134"/>
          <w:tab w:val="left" w:pos="1814"/>
          <w:tab w:val="left" w:pos="2665"/>
        </w:tabs>
        <w:spacing w:before="120" w:after="0" w:line="360" w:lineRule="auto"/>
        <w:jc w:val="center"/>
        <w:rPr>
          <w:rFonts w:ascii="David" w:hAnsi="David" w:cs="David"/>
          <w:sz w:val="24"/>
          <w:szCs w:val="24"/>
          <w:rtl/>
        </w:rPr>
      </w:pPr>
      <w:r w:rsidRPr="000856CB">
        <w:rPr>
          <w:noProof/>
        </w:rPr>
        <w:drawing>
          <wp:inline distT="0" distB="0" distL="0" distR="0" wp14:anchorId="504D858D" wp14:editId="21DF7984">
            <wp:extent cx="4675695" cy="3299381"/>
            <wp:effectExtent l="0" t="0" r="10795" b="15875"/>
            <wp:docPr id="1" name="תרשים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55A060" w14:textId="77777777" w:rsidR="0079340F" w:rsidRPr="000856CB" w:rsidRDefault="0079340F" w:rsidP="0079340F">
      <w:pPr>
        <w:tabs>
          <w:tab w:val="left" w:pos="567"/>
          <w:tab w:val="left" w:pos="1134"/>
          <w:tab w:val="left" w:pos="1814"/>
          <w:tab w:val="left" w:pos="2665"/>
        </w:tabs>
        <w:spacing w:before="120" w:after="0" w:line="360" w:lineRule="auto"/>
        <w:jc w:val="both"/>
        <w:rPr>
          <w:rFonts w:ascii="David" w:hAnsi="David" w:cs="David"/>
          <w:sz w:val="24"/>
          <w:szCs w:val="24"/>
          <w:rtl/>
        </w:rPr>
      </w:pPr>
    </w:p>
    <w:p w14:paraId="37F67E5C" w14:textId="77777777" w:rsidR="0079340F" w:rsidRPr="000856CB" w:rsidRDefault="0079340F" w:rsidP="0079340F">
      <w:pPr>
        <w:tabs>
          <w:tab w:val="left" w:pos="567"/>
          <w:tab w:val="left" w:pos="1134"/>
          <w:tab w:val="left" w:pos="1814"/>
          <w:tab w:val="left" w:pos="2665"/>
        </w:tabs>
        <w:spacing w:before="120" w:after="0" w:line="360" w:lineRule="auto"/>
        <w:jc w:val="both"/>
        <w:rPr>
          <w:rFonts w:ascii="David" w:hAnsi="David" w:cs="David"/>
          <w:sz w:val="24"/>
          <w:szCs w:val="24"/>
          <w:u w:val="single"/>
          <w:rtl/>
        </w:rPr>
      </w:pPr>
      <w:r w:rsidRPr="000856CB">
        <w:rPr>
          <w:rFonts w:ascii="David" w:hAnsi="David" w:cs="David"/>
          <w:sz w:val="24"/>
          <w:szCs w:val="24"/>
          <w:u w:val="single"/>
          <w:rtl/>
        </w:rPr>
        <w:t xml:space="preserve">פיצול סל השירותים הבנקאי </w:t>
      </w:r>
    </w:p>
    <w:p w14:paraId="065A5017" w14:textId="77777777" w:rsidR="0079340F" w:rsidRPr="000856CB" w:rsidRDefault="0079340F" w:rsidP="0079340F">
      <w:pPr>
        <w:tabs>
          <w:tab w:val="left" w:pos="567"/>
          <w:tab w:val="left" w:pos="1134"/>
          <w:tab w:val="left" w:pos="1814"/>
          <w:tab w:val="left" w:pos="2665"/>
        </w:tabs>
        <w:spacing w:before="120" w:after="0" w:line="360" w:lineRule="auto"/>
        <w:jc w:val="both"/>
        <w:rPr>
          <w:rFonts w:ascii="David" w:hAnsi="David" w:cs="David"/>
          <w:sz w:val="24"/>
          <w:szCs w:val="24"/>
          <w:rtl/>
        </w:rPr>
      </w:pPr>
      <w:r w:rsidRPr="000856CB">
        <w:rPr>
          <w:rFonts w:ascii="David" w:hAnsi="David" w:cs="David"/>
          <w:sz w:val="24"/>
          <w:szCs w:val="24"/>
          <w:rtl/>
        </w:rPr>
        <w:t xml:space="preserve">המערכת הבנקאית מציעה ללקוחותיה שירותים שונים נוסף על חשבון </w:t>
      </w:r>
      <w:proofErr w:type="spellStart"/>
      <w:r w:rsidRPr="000856CB">
        <w:rPr>
          <w:rFonts w:ascii="David" w:hAnsi="David" w:cs="David"/>
          <w:sz w:val="24"/>
          <w:szCs w:val="24"/>
          <w:rtl/>
        </w:rPr>
        <w:t>העו"ש</w:t>
      </w:r>
      <w:proofErr w:type="spellEnd"/>
      <w:r w:rsidRPr="000856CB">
        <w:rPr>
          <w:rFonts w:ascii="David" w:hAnsi="David" w:cs="David"/>
          <w:sz w:val="24"/>
          <w:szCs w:val="24"/>
          <w:rtl/>
        </w:rPr>
        <w:t xml:space="preserve">, ובהם חשבון פיקדון (וכן </w:t>
      </w:r>
      <w:proofErr w:type="spellStart"/>
      <w:r w:rsidRPr="000856CB">
        <w:rPr>
          <w:rFonts w:ascii="David" w:hAnsi="David" w:cs="David"/>
          <w:sz w:val="24"/>
          <w:szCs w:val="24"/>
          <w:rtl/>
        </w:rPr>
        <w:t>תוכניות</w:t>
      </w:r>
      <w:proofErr w:type="spellEnd"/>
      <w:r w:rsidRPr="000856CB">
        <w:rPr>
          <w:rFonts w:ascii="David" w:hAnsi="David" w:cs="David"/>
          <w:sz w:val="24"/>
          <w:szCs w:val="24"/>
          <w:rtl/>
        </w:rPr>
        <w:t xml:space="preserve"> חיסכון), הלוואות (צרכניות ולדיור), ניהול תיק ניירות ערך ועוד. מכלול שירותים אלה אמנם מוצע כיום כמעין "סל מוצרים" שהבנק מספק ללקוח המעוניין בהם כמקשה אחת,  אך כבר כיום ישנם לקוחות הבוחרים לפרק את אותו הסל, לצרוך מוצרים שונים מבנקים שונים, ובכך ליהנות מההטבות והתנאים שאלה מציעים במוצרים השונים, מתוך הבנה כי אין צורך להעביר חשבון כדי ליהנות מאותם שירותים. עצם פירוק הסל מגדיל את יכולת הבנקים להתחרות ביניהם לא רק על לקוחות המעבירים אל הבנק החדש את כלל פעילותם, אלא גם על מתן שירותים ספציפיים. </w:t>
      </w:r>
    </w:p>
    <w:p w14:paraId="51BF2C77" w14:textId="77777777" w:rsidR="0079340F" w:rsidRPr="000856CB" w:rsidRDefault="0079340F" w:rsidP="0079340F">
      <w:pPr>
        <w:tabs>
          <w:tab w:val="left" w:pos="567"/>
          <w:tab w:val="left" w:pos="1134"/>
          <w:tab w:val="left" w:pos="1814"/>
          <w:tab w:val="left" w:pos="2665"/>
        </w:tabs>
        <w:spacing w:before="120" w:after="0" w:line="360" w:lineRule="auto"/>
        <w:jc w:val="both"/>
        <w:rPr>
          <w:rFonts w:ascii="David" w:hAnsi="David" w:cs="David"/>
          <w:sz w:val="24"/>
          <w:szCs w:val="24"/>
          <w:rtl/>
        </w:rPr>
      </w:pPr>
      <w:r w:rsidRPr="000856CB">
        <w:rPr>
          <w:rFonts w:ascii="David" w:hAnsi="David" w:cs="David"/>
          <w:b/>
          <w:bCs/>
          <w:sz w:val="24"/>
          <w:szCs w:val="24"/>
          <w:rtl/>
        </w:rPr>
        <w:t>דוגמה בולטת לכך היא שוק ההלוואות</w:t>
      </w:r>
      <w:r w:rsidRPr="000856CB">
        <w:rPr>
          <w:rFonts w:ascii="David" w:hAnsi="David" w:cs="David"/>
          <w:sz w:val="24"/>
          <w:szCs w:val="24"/>
          <w:rtl/>
        </w:rPr>
        <w:t xml:space="preserve">. רבים מן הלקוחות רבים מנהלים חשבון עו"ש בבנק אחד ונוטלים הלוואה לדיור בבנק אחר. כמו כן ישנם בנקים שמציעים הלוואות ישירות גם למי שאינם לקוחות שלהם. לעיתים הבנק שבו מנוהל תיק ניירות ערך הוא נגזרת של חברת ההשקעות שהצרכן בחר להיעזר בשירותיה (אשר לה יש הסכם עם בנק מסוים), ולא החלטה שלו לנהל את תיק ניירות ערך באותו הבנק. כללו של דבר, לא אחת לקוחות נוטלים מוצרים שונים בבנקים שונים. </w:t>
      </w:r>
    </w:p>
    <w:p w14:paraId="2E19AE38" w14:textId="5B6D7881" w:rsidR="0079340F" w:rsidRPr="000856CB" w:rsidRDefault="0079340F" w:rsidP="00125BEC">
      <w:pPr>
        <w:tabs>
          <w:tab w:val="left" w:pos="567"/>
          <w:tab w:val="left" w:pos="1134"/>
          <w:tab w:val="left" w:pos="1814"/>
          <w:tab w:val="left" w:pos="2665"/>
        </w:tabs>
        <w:spacing w:before="120" w:after="0" w:line="360" w:lineRule="auto"/>
        <w:jc w:val="both"/>
        <w:rPr>
          <w:rFonts w:ascii="David" w:hAnsi="David" w:cs="David"/>
          <w:sz w:val="24"/>
          <w:szCs w:val="24"/>
          <w:rtl/>
        </w:rPr>
      </w:pPr>
      <w:r w:rsidRPr="000856CB">
        <w:rPr>
          <w:rFonts w:ascii="David" w:hAnsi="David" w:cs="David"/>
          <w:b/>
          <w:bCs/>
          <w:sz w:val="24"/>
          <w:szCs w:val="24"/>
          <w:rtl/>
        </w:rPr>
        <w:t>נכון ליוני 2018, קרוב ל-40% מלקוחות הבנקים צורכים לפחות מוצר אחד שלא דרך החשבון הראשי שלהם בבנק האם</w:t>
      </w:r>
      <w:r w:rsidRPr="000856CB">
        <w:rPr>
          <w:rFonts w:ascii="David" w:hAnsi="David" w:cs="David"/>
          <w:sz w:val="24"/>
          <w:szCs w:val="24"/>
          <w:rtl/>
        </w:rPr>
        <w:t xml:space="preserve">, כ-28% מלקוחות הבנק צורכים שירותים שונים משני בנקים, וכ-8.5% אף משלושה בנקים (איור </w:t>
      </w:r>
      <w:r w:rsidR="00125BEC" w:rsidRPr="000856CB">
        <w:rPr>
          <w:rFonts w:ascii="David" w:hAnsi="David" w:cs="David" w:hint="cs"/>
          <w:sz w:val="24"/>
          <w:szCs w:val="24"/>
          <w:rtl/>
        </w:rPr>
        <w:t>2</w:t>
      </w:r>
      <w:r w:rsidRPr="000856CB">
        <w:rPr>
          <w:rFonts w:ascii="David" w:hAnsi="David" w:cs="David"/>
          <w:sz w:val="24"/>
          <w:szCs w:val="24"/>
          <w:rtl/>
        </w:rPr>
        <w:t xml:space="preserve">). חשוב להדגיש כי </w:t>
      </w:r>
      <w:r w:rsidRPr="000856CB">
        <w:rPr>
          <w:rFonts w:ascii="David" w:hAnsi="David" w:cs="David"/>
          <w:sz w:val="24"/>
          <w:szCs w:val="24"/>
          <w:rtl/>
        </w:rPr>
        <w:lastRenderedPageBreak/>
        <w:t>נתונים אלה מתייחסים למערכת הבנקאית לבדה, ולא לכלל המערכת הפיננסית. מאחר שהאשראי מגופים חוץ-בנקאיים התרחב משמעותית (</w:t>
      </w:r>
      <w:r w:rsidRPr="000856CB">
        <w:rPr>
          <w:rFonts w:ascii="David" w:hAnsi="David" w:cs="David" w:hint="cs"/>
          <w:sz w:val="24"/>
          <w:szCs w:val="24"/>
          <w:rtl/>
        </w:rPr>
        <w:t>איור ב'-</w:t>
      </w:r>
      <w:r w:rsidR="00125BEC" w:rsidRPr="000856CB">
        <w:rPr>
          <w:rFonts w:ascii="David" w:hAnsi="David" w:cs="David" w:hint="cs"/>
          <w:sz w:val="24"/>
          <w:szCs w:val="24"/>
          <w:rtl/>
        </w:rPr>
        <w:t xml:space="preserve"> </w:t>
      </w:r>
      <w:r w:rsidRPr="000856CB">
        <w:rPr>
          <w:rFonts w:ascii="David" w:hAnsi="David" w:cs="David" w:hint="cs"/>
          <w:sz w:val="24"/>
          <w:szCs w:val="24"/>
          <w:rtl/>
        </w:rPr>
        <w:t>3</w:t>
      </w:r>
      <w:r w:rsidR="00125BEC" w:rsidRPr="000856CB">
        <w:rPr>
          <w:rFonts w:ascii="David" w:hAnsi="David" w:cs="David" w:hint="cs"/>
          <w:sz w:val="24"/>
          <w:szCs w:val="24"/>
          <w:rtl/>
        </w:rPr>
        <w:t xml:space="preserve"> בסקירה השנתית של הפיקוח על הבנקים לשנת 2018 הצפויה להתפרסם בימים הקרובים</w:t>
      </w:r>
      <w:r w:rsidRPr="000856CB">
        <w:rPr>
          <w:rFonts w:ascii="David" w:hAnsi="David" w:cs="David"/>
          <w:sz w:val="24"/>
          <w:szCs w:val="24"/>
          <w:rtl/>
        </w:rPr>
        <w:t>), שיעור הלקוחות הנוטלים הלוואה מגוף שאינו בנק האֵם שלהם הוא מטבע הדברים גבוה יותר מאשר לפי הנתונים שהוצגו לעיל. ישנם גם לקוחות רבים המנהלים תיק ניירות ערך בבתי השקעות שאינם בנקים.</w:t>
      </w:r>
    </w:p>
    <w:p w14:paraId="2A3D5DC8" w14:textId="6EA4296E" w:rsidR="0079340F" w:rsidRPr="000856CB" w:rsidRDefault="0079340F" w:rsidP="00125BEC">
      <w:pPr>
        <w:tabs>
          <w:tab w:val="left" w:pos="567"/>
          <w:tab w:val="left" w:pos="1134"/>
          <w:tab w:val="left" w:pos="1814"/>
          <w:tab w:val="left" w:pos="2665"/>
        </w:tabs>
        <w:spacing w:after="0" w:line="360" w:lineRule="auto"/>
        <w:jc w:val="center"/>
        <w:rPr>
          <w:rFonts w:ascii="David" w:hAnsi="David" w:cs="David"/>
          <w:sz w:val="24"/>
          <w:szCs w:val="24"/>
          <w:rtl/>
        </w:rPr>
      </w:pPr>
      <w:r w:rsidRPr="000856CB">
        <w:rPr>
          <w:rFonts w:ascii="David" w:hAnsi="David" w:cs="David"/>
          <w:sz w:val="24"/>
          <w:szCs w:val="24"/>
          <w:rtl/>
        </w:rPr>
        <w:t xml:space="preserve">איור </w:t>
      </w:r>
      <w:r w:rsidR="00125BEC" w:rsidRPr="000856CB">
        <w:rPr>
          <w:rFonts w:ascii="David" w:hAnsi="David" w:cs="David" w:hint="cs"/>
          <w:sz w:val="24"/>
          <w:szCs w:val="24"/>
          <w:rtl/>
        </w:rPr>
        <w:t>2</w:t>
      </w:r>
    </w:p>
    <w:p w14:paraId="0F43876B" w14:textId="77777777" w:rsidR="0079340F" w:rsidRPr="000856CB" w:rsidRDefault="0079340F" w:rsidP="0079340F">
      <w:pPr>
        <w:tabs>
          <w:tab w:val="left" w:pos="567"/>
          <w:tab w:val="left" w:pos="1134"/>
          <w:tab w:val="left" w:pos="1814"/>
          <w:tab w:val="left" w:pos="2665"/>
        </w:tabs>
        <w:spacing w:after="0" w:line="360" w:lineRule="auto"/>
        <w:jc w:val="center"/>
        <w:rPr>
          <w:rFonts w:ascii="David" w:hAnsi="David" w:cs="David"/>
          <w:b/>
          <w:bCs/>
          <w:sz w:val="24"/>
          <w:szCs w:val="24"/>
          <w:rtl/>
        </w:rPr>
      </w:pPr>
      <w:r w:rsidRPr="000856CB">
        <w:rPr>
          <w:rFonts w:ascii="David" w:hAnsi="David" w:cs="David"/>
          <w:b/>
          <w:bCs/>
          <w:sz w:val="24"/>
          <w:szCs w:val="24"/>
          <w:rtl/>
        </w:rPr>
        <w:t xml:space="preserve"> קרוב ל-40% מלקוחות הבנקים צורכים לפחות מוצר אחד בבנק שאינו בנק האם שלהם</w:t>
      </w:r>
    </w:p>
    <w:p w14:paraId="2CAECB78" w14:textId="312868E4" w:rsidR="0079340F" w:rsidRPr="000856CB" w:rsidRDefault="00125BEC" w:rsidP="0079340F">
      <w:pPr>
        <w:tabs>
          <w:tab w:val="left" w:pos="567"/>
          <w:tab w:val="left" w:pos="1134"/>
          <w:tab w:val="left" w:pos="1814"/>
          <w:tab w:val="left" w:pos="2665"/>
        </w:tabs>
        <w:spacing w:before="120" w:after="0" w:line="360" w:lineRule="auto"/>
        <w:jc w:val="center"/>
        <w:rPr>
          <w:rFonts w:ascii="David" w:hAnsi="David" w:cs="David"/>
          <w:sz w:val="24"/>
          <w:szCs w:val="24"/>
          <w:rtl/>
        </w:rPr>
      </w:pPr>
      <w:r w:rsidRPr="000856CB">
        <w:rPr>
          <w:noProof/>
        </w:rPr>
        <w:lastRenderedPageBreak/>
        <w:drawing>
          <wp:inline distT="0" distB="0" distL="0" distR="0" wp14:anchorId="764CB882" wp14:editId="03B21CE1">
            <wp:extent cx="4628004" cy="3450211"/>
            <wp:effectExtent l="0" t="0" r="1270" b="17145"/>
            <wp:docPr id="2" name="תרשים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C08BE4" w14:textId="77777777" w:rsidR="0079340F" w:rsidRPr="000856CB" w:rsidRDefault="0079340F" w:rsidP="0079340F">
      <w:pPr>
        <w:tabs>
          <w:tab w:val="left" w:pos="567"/>
          <w:tab w:val="left" w:pos="1134"/>
          <w:tab w:val="left" w:pos="1814"/>
          <w:tab w:val="left" w:pos="2665"/>
        </w:tabs>
        <w:spacing w:before="120" w:after="0" w:line="360" w:lineRule="auto"/>
        <w:jc w:val="both"/>
        <w:rPr>
          <w:rFonts w:ascii="David" w:hAnsi="David" w:cs="David"/>
          <w:sz w:val="24"/>
          <w:szCs w:val="24"/>
          <w:rtl/>
        </w:rPr>
      </w:pPr>
    </w:p>
    <w:p w14:paraId="76A5178C" w14:textId="77777777" w:rsidR="00B7485D" w:rsidRDefault="0079340F" w:rsidP="0079340F">
      <w:pPr>
        <w:spacing w:line="360" w:lineRule="auto"/>
        <w:jc w:val="both"/>
        <w:rPr>
          <w:rFonts w:ascii="David" w:hAnsi="David" w:cs="David"/>
          <w:sz w:val="24"/>
          <w:szCs w:val="24"/>
          <w:rtl/>
        </w:rPr>
      </w:pPr>
      <w:r w:rsidRPr="000856CB">
        <w:rPr>
          <w:rFonts w:ascii="David" w:hAnsi="David" w:cs="David"/>
          <w:sz w:val="24"/>
          <w:szCs w:val="24"/>
          <w:rtl/>
        </w:rPr>
        <w:t xml:space="preserve"> </w:t>
      </w:r>
    </w:p>
    <w:p w14:paraId="34C1EFDF" w14:textId="77777777" w:rsidR="00B7485D" w:rsidRDefault="00B7485D">
      <w:pPr>
        <w:bidi w:val="0"/>
        <w:rPr>
          <w:rFonts w:ascii="David" w:hAnsi="David" w:cs="David"/>
          <w:sz w:val="24"/>
          <w:szCs w:val="24"/>
          <w:rtl/>
        </w:rPr>
      </w:pPr>
      <w:r>
        <w:rPr>
          <w:rFonts w:ascii="David" w:hAnsi="David" w:cs="David"/>
          <w:sz w:val="24"/>
          <w:szCs w:val="24"/>
          <w:rtl/>
        </w:rPr>
        <w:br w:type="page"/>
      </w:r>
    </w:p>
    <w:p w14:paraId="1DC386BE" w14:textId="3685595C" w:rsidR="0079340F" w:rsidRPr="000856CB" w:rsidRDefault="0079340F" w:rsidP="0079340F">
      <w:pPr>
        <w:spacing w:line="360" w:lineRule="auto"/>
        <w:jc w:val="both"/>
        <w:rPr>
          <w:rFonts w:ascii="David" w:hAnsi="David" w:cs="David"/>
          <w:b/>
          <w:bCs/>
          <w:sz w:val="24"/>
          <w:szCs w:val="24"/>
          <w:rtl/>
        </w:rPr>
      </w:pPr>
      <w:r w:rsidRPr="000856CB">
        <w:rPr>
          <w:rFonts w:ascii="David" w:hAnsi="David" w:cs="David"/>
          <w:b/>
          <w:bCs/>
          <w:sz w:val="24"/>
          <w:szCs w:val="24"/>
          <w:rtl/>
        </w:rPr>
        <w:lastRenderedPageBreak/>
        <w:t xml:space="preserve">המערכת המקוונת לניוד חשבונות בישראל </w:t>
      </w:r>
    </w:p>
    <w:p w14:paraId="7114E37D" w14:textId="5007A76E" w:rsidR="0079340F" w:rsidRPr="000856CB" w:rsidRDefault="0079340F" w:rsidP="00EA5C97">
      <w:pPr>
        <w:tabs>
          <w:tab w:val="left" w:pos="567"/>
          <w:tab w:val="left" w:pos="1134"/>
          <w:tab w:val="left" w:pos="1814"/>
          <w:tab w:val="left" w:pos="2665"/>
        </w:tabs>
        <w:spacing w:before="120" w:line="360" w:lineRule="auto"/>
        <w:jc w:val="both"/>
        <w:rPr>
          <w:rFonts w:ascii="David" w:hAnsi="David" w:cs="David"/>
          <w:sz w:val="24"/>
          <w:szCs w:val="24"/>
        </w:rPr>
      </w:pPr>
      <w:r w:rsidRPr="000856CB">
        <w:rPr>
          <w:rFonts w:ascii="David" w:hAnsi="David" w:cs="David"/>
          <w:b/>
          <w:bCs/>
          <w:sz w:val="24"/>
          <w:szCs w:val="24"/>
          <w:rtl/>
        </w:rPr>
        <w:t>מטרת הקמתה של המערכת המקוונת לניוד חשבונות בנק היא הגברת האיום התחרותי וחיזוק כוח המיקוח של הלקוח הבנקאי</w:t>
      </w:r>
      <w:r w:rsidRPr="000856CB">
        <w:rPr>
          <w:rFonts w:ascii="David" w:hAnsi="David" w:cs="David"/>
          <w:sz w:val="24"/>
          <w:szCs w:val="24"/>
          <w:rtl/>
        </w:rPr>
        <w:t xml:space="preserve">. אמנם כיום מרבית העוברים הם לקוחות הפעילים פיננסית, אך בעתיד המערכת תקל על כל הלקוחות לעבור מבנק לבנק. בבריטניה נמצא כי לאחר הקמת המערכת גדל מספר המוצרים הפיננסיים המוצעים ללקוחות, גבר שיתוף הפעולה בין בנקים גדולים לבין פינטקים, איכות השירות ללקוח השתפרה, והופחתו חסמי כניסה לבנקים חדשים. לפיכך ייתכן כי המערכת הבנקאית בישראל תשתכלל אף היא, ותגבר התחרות לא רק בהיבטים מסורתיים על סל השירותים הבנקאיים, אלא גם על שירותים ספציפיים; לכך מסייעת  העובדה שהמערכת לניוד חשבונות תטפל בניוד חשבונות עו"ש בלבד, מצב שיפעל להחלשת הקשר בין חשבונות אתה לפעילויות פיננסיות אחרות. </w:t>
      </w:r>
    </w:p>
    <w:p w14:paraId="496822A7" w14:textId="77777777" w:rsidR="0079340F" w:rsidRPr="000856CB" w:rsidRDefault="0079340F" w:rsidP="0079340F">
      <w:pPr>
        <w:tabs>
          <w:tab w:val="left" w:pos="567"/>
          <w:tab w:val="left" w:pos="1134"/>
          <w:tab w:val="left" w:pos="1814"/>
          <w:tab w:val="left" w:pos="2665"/>
        </w:tabs>
        <w:spacing w:before="120" w:line="360" w:lineRule="auto"/>
        <w:jc w:val="both"/>
        <w:rPr>
          <w:rFonts w:ascii="David" w:hAnsi="David" w:cs="David"/>
          <w:sz w:val="24"/>
          <w:szCs w:val="24"/>
          <w:rtl/>
        </w:rPr>
      </w:pPr>
      <w:r w:rsidRPr="000856CB">
        <w:rPr>
          <w:rFonts w:ascii="David" w:hAnsi="David" w:cs="David"/>
          <w:sz w:val="24"/>
          <w:szCs w:val="24"/>
          <w:rtl/>
        </w:rPr>
        <w:t xml:space="preserve">עם זאת, מלאכת הקמת הפרויקט מורכבת במיוחד וטומנת בחובה אתגרים רבים, בעיקר בשל מורכבות חשבונות </w:t>
      </w:r>
      <w:proofErr w:type="spellStart"/>
      <w:r w:rsidRPr="000856CB">
        <w:rPr>
          <w:rFonts w:ascii="David" w:hAnsi="David" w:cs="David"/>
          <w:sz w:val="24"/>
          <w:szCs w:val="24"/>
          <w:rtl/>
        </w:rPr>
        <w:t>העו"ש</w:t>
      </w:r>
      <w:proofErr w:type="spellEnd"/>
      <w:r w:rsidRPr="000856CB">
        <w:rPr>
          <w:rFonts w:ascii="David" w:hAnsi="David" w:cs="David"/>
          <w:sz w:val="24"/>
          <w:szCs w:val="24"/>
          <w:rtl/>
        </w:rPr>
        <w:t xml:space="preserve"> וצורכי הלקוחות בישראל (שהם שונים מאשר בבריטניה), וכן המורכבות הטכנולוגית, המצריכה סינרגיה בין גופים ומערכות פיננסיות שונות. לנוכח ההשקעה הרבה הנדרשת להקמת המערכת הפרויקט צפוי להתחיל לפעול רק בשנת 2021.</w:t>
      </w:r>
    </w:p>
    <w:p w14:paraId="3B063E67" w14:textId="77777777" w:rsidR="0079340F" w:rsidRPr="000856CB" w:rsidRDefault="0079340F" w:rsidP="0079340F">
      <w:pPr>
        <w:tabs>
          <w:tab w:val="left" w:pos="567"/>
          <w:tab w:val="left" w:pos="1134"/>
          <w:tab w:val="left" w:pos="1814"/>
          <w:tab w:val="left" w:pos="2665"/>
        </w:tabs>
        <w:spacing w:before="120" w:after="0" w:line="360" w:lineRule="auto"/>
        <w:jc w:val="both"/>
        <w:rPr>
          <w:rFonts w:ascii="David" w:hAnsi="David" w:cs="David"/>
          <w:sz w:val="24"/>
          <w:szCs w:val="24"/>
          <w:u w:val="single"/>
          <w:rtl/>
        </w:rPr>
      </w:pPr>
      <w:r w:rsidRPr="000856CB">
        <w:rPr>
          <w:rFonts w:ascii="David" w:hAnsi="David" w:cs="David"/>
          <w:sz w:val="24"/>
          <w:szCs w:val="24"/>
          <w:u w:val="single"/>
          <w:rtl/>
        </w:rPr>
        <w:t>עקרונות בסיסיים להעברת הפעילות על ידי לקוח</w:t>
      </w:r>
    </w:p>
    <w:p w14:paraId="7994D82C" w14:textId="77777777" w:rsidR="0079340F" w:rsidRPr="000856CB" w:rsidRDefault="0079340F" w:rsidP="0079340F">
      <w:pPr>
        <w:tabs>
          <w:tab w:val="left" w:pos="567"/>
          <w:tab w:val="left" w:pos="1134"/>
          <w:tab w:val="left" w:pos="1814"/>
          <w:tab w:val="left" w:pos="2665"/>
        </w:tabs>
        <w:spacing w:before="120" w:after="0" w:line="360" w:lineRule="auto"/>
        <w:jc w:val="both"/>
        <w:rPr>
          <w:rFonts w:ascii="David" w:eastAsia="Times New Roman" w:hAnsi="David" w:cs="David"/>
          <w:sz w:val="24"/>
          <w:szCs w:val="24"/>
          <w:rtl/>
        </w:rPr>
      </w:pPr>
      <w:r w:rsidRPr="000856CB">
        <w:rPr>
          <w:rFonts w:ascii="David" w:hAnsi="David" w:cs="David"/>
          <w:sz w:val="24"/>
          <w:szCs w:val="24"/>
          <w:rtl/>
        </w:rPr>
        <w:lastRenderedPageBreak/>
        <w:t xml:space="preserve">הקמת המערכת המקוונת לניוד חשבונות היא תולדה של </w:t>
      </w:r>
      <w:r w:rsidRPr="000856CB">
        <w:rPr>
          <w:rFonts w:ascii="David" w:eastAsia="Times New Roman" w:hAnsi="David" w:cs="David"/>
          <w:sz w:val="24"/>
          <w:szCs w:val="24"/>
          <w:rtl/>
        </w:rPr>
        <w:t>תיקון מס' 27 לחוק הבנקאות (שירות ללקוח), התשמ"א-1981</w:t>
      </w:r>
      <w:r w:rsidRPr="000856CB">
        <w:rPr>
          <w:rFonts w:ascii="David" w:eastAsia="Times New Roman" w:hAnsi="David" w:cs="David"/>
          <w:sz w:val="24"/>
          <w:szCs w:val="24"/>
          <w:vertAlign w:val="superscript"/>
          <w:rtl/>
        </w:rPr>
        <w:footnoteReference w:id="6"/>
      </w:r>
      <w:r w:rsidRPr="000856CB">
        <w:rPr>
          <w:rFonts w:ascii="David" w:eastAsia="Times New Roman" w:hAnsi="David" w:cs="David"/>
          <w:sz w:val="24"/>
          <w:szCs w:val="24"/>
          <w:rtl/>
        </w:rPr>
        <w:t xml:space="preserve"> (להלן – תיקון החוק)</w:t>
      </w:r>
      <w:r w:rsidRPr="000856CB">
        <w:rPr>
          <w:rFonts w:ascii="David" w:hAnsi="David" w:cs="David"/>
          <w:sz w:val="24"/>
          <w:szCs w:val="24"/>
          <w:rtl/>
        </w:rPr>
        <w:t>, אשר הוביל משרד האוצר יחד עם בנק ישראל. המטרה היא ל</w:t>
      </w:r>
      <w:r w:rsidRPr="000856CB">
        <w:rPr>
          <w:rFonts w:ascii="David" w:eastAsia="Times New Roman" w:hAnsi="David" w:cs="David"/>
          <w:sz w:val="24"/>
          <w:szCs w:val="24"/>
          <w:rtl/>
        </w:rPr>
        <w:t>אפשר ללקוחות המערכת הבנקאית לממש ביתר קלות את בחירתם לעבור מבנק לבנק, וכך לשפר את תנאי ההתקשרות שלהם, בין אם באמצעות העברת פעילותם הפיננסית לבנק חדש ובין כתוצאה ממאמצי הבנק שבו מתנהל חשבונם לשמר אותם, עם התגברות האיום התחרותי והתחזקות כוח המיקוח שלהם. צעד זה הוא חלק משורה ארוכה של צעדים שנקט הפיקוח על הבנקים כדי להגביר את התחרות במערכת הפיננסית בעיקר בקרב משקי הבית והעסקים הקטנים. (ראו תיבה ב'-1: "התחרות והשינויים בתחרות במערכת הבנקאית בישראל", בסקירה השנתית של הפיקוח על הבנקים לשנת 2017.)</w:t>
      </w:r>
    </w:p>
    <w:p w14:paraId="5E35F942" w14:textId="77777777" w:rsidR="0079340F" w:rsidRPr="000856CB" w:rsidRDefault="0079340F" w:rsidP="0079340F">
      <w:pPr>
        <w:tabs>
          <w:tab w:val="left" w:pos="567"/>
          <w:tab w:val="left" w:pos="1134"/>
          <w:tab w:val="left" w:pos="1814"/>
          <w:tab w:val="left" w:pos="2665"/>
        </w:tabs>
        <w:spacing w:before="120" w:after="0" w:line="360" w:lineRule="auto"/>
        <w:jc w:val="both"/>
        <w:rPr>
          <w:rFonts w:ascii="David" w:eastAsia="Times New Roman" w:hAnsi="David" w:cs="David"/>
          <w:sz w:val="24"/>
          <w:szCs w:val="24"/>
          <w:rtl/>
        </w:rPr>
      </w:pPr>
      <w:r w:rsidRPr="000856CB">
        <w:rPr>
          <w:rFonts w:ascii="David" w:eastAsia="Times New Roman" w:hAnsi="David" w:cs="David"/>
          <w:sz w:val="24"/>
          <w:szCs w:val="24"/>
          <w:rtl/>
        </w:rPr>
        <w:t xml:space="preserve">במסגרת החוק נקבע כי על הבנקים להקים מערכת לניוד חשבונות בנק אשר תקל על לקוחות לעבור מבנק לבנק, שכן המעבר יתבצע באופן מקוון, מאובטח ונוח, בתוך שבעה ימי עסקים מהיום שבו הושלמה בקשת הלקוח להעברת הפעילות, וללא עלות. המערכת המקוונת עתידה להתחיל לפעול בשנת 2021, והיא מבוססת על עקרונות המערכת לניוד חשבונות עובר ושב הפועלת בבריטניה (מערכת ה - </w:t>
      </w:r>
      <w:r w:rsidRPr="000856CB">
        <w:rPr>
          <w:rFonts w:ascii="David" w:eastAsia="Times New Roman" w:hAnsi="David" w:cs="David"/>
          <w:sz w:val="24"/>
          <w:szCs w:val="24"/>
        </w:rPr>
        <w:t>CASS</w:t>
      </w:r>
      <w:r w:rsidRPr="000856CB">
        <w:rPr>
          <w:rFonts w:ascii="David" w:eastAsia="Times New Roman" w:hAnsi="David" w:cs="David"/>
          <w:sz w:val="24"/>
          <w:szCs w:val="24"/>
          <w:vertAlign w:val="superscript"/>
          <w:rtl/>
        </w:rPr>
        <w:footnoteReference w:id="7"/>
      </w:r>
      <w:r w:rsidRPr="000856CB">
        <w:rPr>
          <w:rFonts w:ascii="David" w:eastAsia="Times New Roman" w:hAnsi="David" w:cs="David"/>
          <w:sz w:val="24"/>
          <w:szCs w:val="24"/>
          <w:rtl/>
        </w:rPr>
        <w:t>), ובהם:</w:t>
      </w:r>
    </w:p>
    <w:p w14:paraId="57A83AC2" w14:textId="77777777" w:rsidR="0079340F" w:rsidRPr="000856CB" w:rsidRDefault="0079340F" w:rsidP="0079340F">
      <w:pPr>
        <w:pStyle w:val="a6"/>
        <w:numPr>
          <w:ilvl w:val="1"/>
          <w:numId w:val="1"/>
        </w:numPr>
        <w:rPr>
          <w:rFonts w:ascii="David" w:eastAsia="Times New Roman" w:hAnsi="David" w:cs="David"/>
          <w:szCs w:val="24"/>
        </w:rPr>
      </w:pPr>
      <w:r w:rsidRPr="000856CB">
        <w:rPr>
          <w:rFonts w:ascii="David" w:eastAsia="Times New Roman" w:hAnsi="David" w:cs="David"/>
          <w:szCs w:val="24"/>
          <w:rtl/>
        </w:rPr>
        <w:lastRenderedPageBreak/>
        <w:t xml:space="preserve">הפעילות הנדרשת לצורך העברת הפעילות בחשבון תתנהל, ככלל, מול הבנק החדש בלבד, ובאופן מקוון. משמע שהלקוח לא יצטרך לפנות לשם כך לבנק הישן או לצדדים השלישיים שאיתם יש לו הסדרי תשלום או זיכוי כלשהם. עיקרון זה יבטיח מינימום טרחה בירוקרטית ללקוח במסגרת העברת חשבון העובר ושב. </w:t>
      </w:r>
    </w:p>
    <w:p w14:paraId="6BE2FFE3" w14:textId="77777777" w:rsidR="0079340F" w:rsidRPr="000856CB" w:rsidRDefault="0079340F" w:rsidP="0079340F">
      <w:pPr>
        <w:pStyle w:val="a6"/>
        <w:numPr>
          <w:ilvl w:val="1"/>
          <w:numId w:val="1"/>
        </w:numPr>
        <w:rPr>
          <w:rFonts w:ascii="David" w:eastAsia="Times New Roman" w:hAnsi="David" w:cs="David"/>
          <w:szCs w:val="24"/>
        </w:rPr>
      </w:pPr>
      <w:r w:rsidRPr="000856CB">
        <w:rPr>
          <w:rFonts w:ascii="David" w:eastAsia="Times New Roman" w:hAnsi="David" w:cs="David"/>
          <w:szCs w:val="24"/>
          <w:rtl/>
        </w:rPr>
        <w:t xml:space="preserve">העברת הפעילויות בחשבון תתבצע ברובה בתוך שבעה ימי עסקים מהמועד שבו הושלמה בקשת הלקוח להעברת הפעילות. </w:t>
      </w:r>
    </w:p>
    <w:p w14:paraId="7E7F9861" w14:textId="77777777" w:rsidR="0079340F" w:rsidRPr="000856CB" w:rsidRDefault="0079340F" w:rsidP="0079340F">
      <w:pPr>
        <w:pStyle w:val="a6"/>
        <w:numPr>
          <w:ilvl w:val="1"/>
          <w:numId w:val="1"/>
        </w:numPr>
        <w:rPr>
          <w:rFonts w:ascii="David" w:eastAsia="Times New Roman" w:hAnsi="David" w:cs="David"/>
          <w:szCs w:val="24"/>
        </w:rPr>
      </w:pPr>
      <w:r w:rsidRPr="000856CB">
        <w:rPr>
          <w:rFonts w:ascii="David" w:eastAsia="Times New Roman" w:hAnsi="David" w:cs="David"/>
          <w:szCs w:val="24"/>
          <w:rtl/>
        </w:rPr>
        <w:t>תהליך העברת הפעילות בחשבון, לרבות מנגנון "עקוב אחריי" שיפורט להלן, לא יהיה כרוך בעלות ללקוח.</w:t>
      </w:r>
    </w:p>
    <w:p w14:paraId="0005B741" w14:textId="77777777" w:rsidR="0079340F" w:rsidRPr="000856CB" w:rsidRDefault="0079340F" w:rsidP="0079340F">
      <w:pPr>
        <w:pStyle w:val="a6"/>
        <w:numPr>
          <w:ilvl w:val="1"/>
          <w:numId w:val="1"/>
        </w:numPr>
        <w:rPr>
          <w:rFonts w:ascii="David" w:eastAsia="Times New Roman" w:hAnsi="David" w:cs="David"/>
          <w:szCs w:val="24"/>
        </w:rPr>
      </w:pPr>
      <w:r w:rsidRPr="000856CB">
        <w:rPr>
          <w:rFonts w:ascii="David" w:eastAsia="Times New Roman" w:hAnsi="David" w:cs="David"/>
          <w:szCs w:val="24"/>
          <w:rtl/>
        </w:rPr>
        <w:t xml:space="preserve">הפעילות בחשבון תועבר באופן שיבטיח כי במשך שנתיים מיום המעבר החיובים והזיכויים של הלקוח שיופנו לחשבון הישן לאחר סגירתו ינותבו אוטומטית לחשבון הבנק החדש שלו ללא צורך בהתערבותו. כך תהיה לו 'רשת ביטחון', ויוסר החשש מפגיעה כתוצאה מהעברת החשבון לבנק החדש. </w:t>
      </w:r>
    </w:p>
    <w:p w14:paraId="7653EF62" w14:textId="77777777" w:rsidR="0079340F" w:rsidRPr="000856CB" w:rsidRDefault="0079340F" w:rsidP="0079340F">
      <w:pPr>
        <w:pStyle w:val="a6"/>
        <w:numPr>
          <w:ilvl w:val="1"/>
          <w:numId w:val="1"/>
        </w:numPr>
        <w:rPr>
          <w:rFonts w:ascii="David" w:eastAsia="Times New Roman" w:hAnsi="David" w:cs="David"/>
          <w:szCs w:val="24"/>
        </w:rPr>
      </w:pPr>
      <w:r w:rsidRPr="000856CB">
        <w:rPr>
          <w:rFonts w:ascii="David" w:eastAsia="Times New Roman" w:hAnsi="David" w:cs="David"/>
          <w:szCs w:val="24"/>
          <w:rtl/>
        </w:rPr>
        <w:t>הבנק החדש יפצה את הלקוח בגין נזק ישיר שייגרם לו, במקרה  שייגרם, אם יימצא פגם בהליך הניוד.</w:t>
      </w:r>
    </w:p>
    <w:p w14:paraId="0D137A58" w14:textId="77777777" w:rsidR="0079340F" w:rsidRPr="000856CB" w:rsidRDefault="0079340F" w:rsidP="0079340F">
      <w:pPr>
        <w:tabs>
          <w:tab w:val="left" w:pos="567"/>
          <w:tab w:val="left" w:pos="1134"/>
          <w:tab w:val="left" w:pos="1814"/>
          <w:tab w:val="left" w:pos="2665"/>
        </w:tabs>
        <w:spacing w:before="120" w:after="0" w:line="360" w:lineRule="auto"/>
        <w:jc w:val="both"/>
        <w:rPr>
          <w:rFonts w:ascii="David" w:eastAsia="Times New Roman" w:hAnsi="David" w:cs="David"/>
          <w:sz w:val="24"/>
          <w:szCs w:val="24"/>
          <w:rtl/>
        </w:rPr>
      </w:pPr>
      <w:r w:rsidRPr="000856CB">
        <w:rPr>
          <w:rFonts w:ascii="David" w:eastAsia="Times New Roman" w:hAnsi="David" w:cs="David"/>
          <w:sz w:val="24"/>
          <w:szCs w:val="24"/>
          <w:rtl/>
        </w:rPr>
        <w:t xml:space="preserve">הפתרון שיוטמע יכלול תהליך ניוד ותהליך ניתוב, כדלקמן:  </w:t>
      </w:r>
    </w:p>
    <w:p w14:paraId="3F49270F" w14:textId="77777777" w:rsidR="0079340F" w:rsidRPr="000856CB" w:rsidRDefault="0079340F" w:rsidP="0079340F">
      <w:pPr>
        <w:tabs>
          <w:tab w:val="left" w:pos="567"/>
          <w:tab w:val="left" w:pos="1134"/>
          <w:tab w:val="left" w:pos="1814"/>
          <w:tab w:val="left" w:pos="2665"/>
        </w:tabs>
        <w:spacing w:before="120" w:after="0" w:line="360" w:lineRule="auto"/>
        <w:jc w:val="both"/>
        <w:rPr>
          <w:rFonts w:ascii="David" w:eastAsia="Times New Roman" w:hAnsi="David" w:cs="David"/>
          <w:sz w:val="24"/>
          <w:szCs w:val="24"/>
          <w:rtl/>
        </w:rPr>
      </w:pPr>
      <w:r w:rsidRPr="000856CB">
        <w:rPr>
          <w:rFonts w:ascii="David" w:eastAsia="Times New Roman" w:hAnsi="David" w:cs="David"/>
          <w:b/>
          <w:bCs/>
          <w:sz w:val="24"/>
          <w:szCs w:val="24"/>
          <w:rtl/>
        </w:rPr>
        <w:t>תהליך הניוד</w:t>
      </w:r>
      <w:r w:rsidRPr="000856CB">
        <w:rPr>
          <w:rFonts w:ascii="David" w:eastAsia="Times New Roman" w:hAnsi="David" w:cs="David"/>
          <w:sz w:val="24"/>
          <w:szCs w:val="24"/>
          <w:rtl/>
        </w:rPr>
        <w:t xml:space="preserve"> יכלול טיפול בבקשת הלקוח להעברת פעילותו הפיננסית מהבנק הקודם לחדש – לאחר שבדיקה וידאה כי החשבון עומד בתנאי הניוד – וסגירה של חשבון </w:t>
      </w:r>
      <w:proofErr w:type="spellStart"/>
      <w:r w:rsidRPr="000856CB">
        <w:rPr>
          <w:rFonts w:ascii="David" w:eastAsia="Times New Roman" w:hAnsi="David" w:cs="David"/>
          <w:sz w:val="24"/>
          <w:szCs w:val="24"/>
          <w:rtl/>
        </w:rPr>
        <w:t>העו"ש</w:t>
      </w:r>
      <w:proofErr w:type="spellEnd"/>
      <w:r w:rsidRPr="000856CB">
        <w:rPr>
          <w:rFonts w:ascii="David" w:eastAsia="Times New Roman" w:hAnsi="David" w:cs="David"/>
          <w:sz w:val="24"/>
          <w:szCs w:val="24"/>
          <w:rtl/>
        </w:rPr>
        <w:t xml:space="preserve"> בבנק הקודם. לאחר מכן יתבצע </w:t>
      </w:r>
      <w:r w:rsidRPr="000856CB">
        <w:rPr>
          <w:rFonts w:ascii="David" w:eastAsia="Times New Roman" w:hAnsi="David" w:cs="David"/>
          <w:b/>
          <w:bCs/>
          <w:sz w:val="24"/>
          <w:szCs w:val="24"/>
          <w:rtl/>
        </w:rPr>
        <w:t>תהליך ניתוב</w:t>
      </w:r>
      <w:r w:rsidRPr="000856CB">
        <w:rPr>
          <w:rFonts w:ascii="David" w:eastAsia="Times New Roman" w:hAnsi="David" w:cs="David"/>
          <w:sz w:val="24"/>
          <w:szCs w:val="24"/>
          <w:rtl/>
        </w:rPr>
        <w:t xml:space="preserve"> (מנגנון "עקוב אחריי"), אשר יכלול העברה אוטומטית של פעולות פיננסיות מהחשבון הישן לחשבון החדש, וזאת מרגע ניוד החשבון </w:t>
      </w:r>
      <w:r w:rsidRPr="000856CB">
        <w:rPr>
          <w:rFonts w:ascii="David" w:eastAsia="Times New Roman" w:hAnsi="David" w:cs="David"/>
          <w:sz w:val="24"/>
          <w:szCs w:val="24"/>
          <w:rtl/>
        </w:rPr>
        <w:lastRenderedPageBreak/>
        <w:t xml:space="preserve">ולמשך תקופה של שנתיים. תהליך זה למעשה נותן ללקוח את הביטחון שכל חיוב או זיכוי שהוצגו בחשבונו הישן ינותבו אוטומטית לחשבונו החדש. כך הוא יוכל  לשמור על רציפות בניהול חשבונו, ללא צורך ביצירת קשר ישיר עם הגורמים המחייבים את חשבונו הישן (כגון חברת החשמל או חברת תקשורת) או מזכים אותו (כגון מעסיק המזכה את החשבון במשכורת או המוסד לביטוח לאומי המזכה אותו בקצבאות למיניהן) ועדכונם בפרטי החשבון החדש שלו במהלך תקופת הניתוב. </w:t>
      </w:r>
    </w:p>
    <w:p w14:paraId="746C40EA" w14:textId="77777777" w:rsidR="0079340F" w:rsidRPr="000856CB" w:rsidRDefault="0079340F" w:rsidP="0079340F">
      <w:pPr>
        <w:tabs>
          <w:tab w:val="left" w:pos="567"/>
          <w:tab w:val="left" w:pos="1134"/>
          <w:tab w:val="left" w:pos="1814"/>
          <w:tab w:val="left" w:pos="2665"/>
        </w:tabs>
        <w:spacing w:before="120" w:after="0" w:line="360" w:lineRule="auto"/>
        <w:jc w:val="both"/>
        <w:rPr>
          <w:rFonts w:ascii="David" w:eastAsia="Times New Roman" w:hAnsi="David" w:cs="David"/>
          <w:sz w:val="24"/>
          <w:szCs w:val="24"/>
          <w:rtl/>
        </w:rPr>
      </w:pPr>
      <w:r w:rsidRPr="000856CB">
        <w:rPr>
          <w:rFonts w:ascii="David" w:eastAsia="Times New Roman" w:hAnsi="David" w:cs="David"/>
          <w:sz w:val="24"/>
          <w:szCs w:val="24"/>
          <w:rtl/>
        </w:rPr>
        <w:t>תהליך הניוד והניתוב יבוצע באמצעות הבנקים, ומרכז הסליקה הבנקאי בע"מ (</w:t>
      </w:r>
      <w:proofErr w:type="spellStart"/>
      <w:r w:rsidRPr="000856CB">
        <w:rPr>
          <w:rFonts w:ascii="David" w:eastAsia="Times New Roman" w:hAnsi="David" w:cs="David"/>
          <w:sz w:val="24"/>
          <w:szCs w:val="24"/>
          <w:rtl/>
        </w:rPr>
        <w:t>מס"ב</w:t>
      </w:r>
      <w:proofErr w:type="spellEnd"/>
      <w:r w:rsidRPr="000856CB">
        <w:rPr>
          <w:rFonts w:ascii="David" w:eastAsia="Times New Roman" w:hAnsi="David" w:cs="David"/>
          <w:sz w:val="24"/>
          <w:szCs w:val="24"/>
          <w:rtl/>
        </w:rPr>
        <w:t xml:space="preserve">) ישמש גורם מרכז של הפרויקט. </w:t>
      </w:r>
    </w:p>
    <w:p w14:paraId="7803425F" w14:textId="77777777" w:rsidR="0079340F" w:rsidRPr="000856CB" w:rsidRDefault="0079340F" w:rsidP="0079340F">
      <w:pPr>
        <w:tabs>
          <w:tab w:val="left" w:pos="567"/>
          <w:tab w:val="left" w:pos="1134"/>
          <w:tab w:val="left" w:pos="1814"/>
          <w:tab w:val="left" w:pos="2665"/>
        </w:tabs>
        <w:spacing w:before="120" w:after="0" w:line="360" w:lineRule="auto"/>
        <w:jc w:val="both"/>
        <w:rPr>
          <w:rFonts w:ascii="David" w:eastAsia="Times New Roman" w:hAnsi="David" w:cs="David"/>
          <w:sz w:val="24"/>
          <w:szCs w:val="24"/>
          <w:u w:val="single"/>
          <w:rtl/>
        </w:rPr>
      </w:pPr>
      <w:r w:rsidRPr="000856CB">
        <w:rPr>
          <w:rFonts w:ascii="David" w:eastAsia="Times New Roman" w:hAnsi="David" w:cs="David"/>
          <w:sz w:val="24"/>
          <w:szCs w:val="24"/>
          <w:u w:val="single"/>
          <w:rtl/>
        </w:rPr>
        <w:t>מורכבות הפרויקט</w:t>
      </w:r>
    </w:p>
    <w:p w14:paraId="30162FF9" w14:textId="4BECBC97" w:rsidR="0079340F" w:rsidRPr="000856CB" w:rsidRDefault="0079340F" w:rsidP="00125BEC">
      <w:pPr>
        <w:tabs>
          <w:tab w:val="left" w:pos="567"/>
          <w:tab w:val="left" w:pos="1134"/>
          <w:tab w:val="left" w:pos="1814"/>
          <w:tab w:val="left" w:pos="2665"/>
        </w:tabs>
        <w:spacing w:before="120" w:after="0" w:line="360" w:lineRule="auto"/>
        <w:jc w:val="both"/>
        <w:rPr>
          <w:rFonts w:ascii="David" w:hAnsi="David" w:cs="David"/>
          <w:sz w:val="24"/>
          <w:szCs w:val="24"/>
          <w:rtl/>
        </w:rPr>
      </w:pPr>
      <w:r w:rsidRPr="000856CB">
        <w:rPr>
          <w:rFonts w:ascii="David" w:hAnsi="David" w:cs="David"/>
          <w:sz w:val="24"/>
          <w:szCs w:val="24"/>
          <w:rtl/>
        </w:rPr>
        <w:t>באוקטובר 2018 ערך הפיקוח על הבנקים סמינר מקצועי עם מקימי מערכת ה-</w:t>
      </w:r>
      <w:r w:rsidRPr="000856CB">
        <w:rPr>
          <w:rFonts w:ascii="David" w:hAnsi="David" w:cs="David"/>
          <w:sz w:val="24"/>
          <w:szCs w:val="24"/>
        </w:rPr>
        <w:t>CASS</w:t>
      </w:r>
      <w:r w:rsidRPr="000856CB">
        <w:rPr>
          <w:rFonts w:ascii="David" w:hAnsi="David" w:cs="David"/>
          <w:sz w:val="24"/>
          <w:szCs w:val="24"/>
          <w:rtl/>
        </w:rPr>
        <w:t xml:space="preserve"> במטרה להיטיב וללמוד את מאפייני המערכת בבריטניה ואת הלקחים שהופקו שם לצורך פיתוח יישום המותאם למערכת הבנקאית בישראל. אחת התובנות שעלו במסגרת הסמינר הייתה שהטמעת פתרון למעבר מבנק לבנק בישראל היא מורכבת ביותר, הן באופן כללי והן לעומת הפתרון שיושם בבריטניה, שכן בישראל חשבונות </w:t>
      </w:r>
      <w:proofErr w:type="spellStart"/>
      <w:r w:rsidRPr="000856CB">
        <w:rPr>
          <w:rFonts w:ascii="David" w:hAnsi="David" w:cs="David"/>
          <w:sz w:val="24"/>
          <w:szCs w:val="24"/>
          <w:rtl/>
        </w:rPr>
        <w:t>העו"ש</w:t>
      </w:r>
      <w:proofErr w:type="spellEnd"/>
      <w:r w:rsidRPr="000856CB">
        <w:rPr>
          <w:rFonts w:ascii="David" w:hAnsi="David" w:cs="David"/>
          <w:sz w:val="24"/>
          <w:szCs w:val="24"/>
          <w:rtl/>
        </w:rPr>
        <w:t xml:space="preserve"> מרכזים לא רק את הפעילות הכספית השוטפת של הלקוח (פעילות </w:t>
      </w:r>
      <w:proofErr w:type="spellStart"/>
      <w:r w:rsidRPr="000856CB">
        <w:rPr>
          <w:rFonts w:ascii="David" w:hAnsi="David" w:cs="David"/>
          <w:sz w:val="24"/>
          <w:szCs w:val="24"/>
          <w:rtl/>
        </w:rPr>
        <w:t>העו"ש</w:t>
      </w:r>
      <w:proofErr w:type="spellEnd"/>
      <w:r w:rsidRPr="000856CB">
        <w:rPr>
          <w:rFonts w:ascii="David" w:hAnsi="David" w:cs="David"/>
          <w:sz w:val="24"/>
          <w:szCs w:val="24"/>
          <w:rtl/>
        </w:rPr>
        <w:t xml:space="preserve">), אלא את כלל הפעילות הפיננסית שלו –  תיק ניירות הערך, ההלוואות, הפיקדונות ועוד. אחד הביטויים למצב זה הוא שכ-60% מהציבור צורכים את שלל השירותים הבנקאיים בבנק יחיד (איור </w:t>
      </w:r>
      <w:r w:rsidR="00125BEC" w:rsidRPr="000856CB">
        <w:rPr>
          <w:rFonts w:ascii="David" w:hAnsi="David" w:cs="David" w:hint="cs"/>
          <w:sz w:val="24"/>
          <w:szCs w:val="24"/>
          <w:rtl/>
        </w:rPr>
        <w:t>2</w:t>
      </w:r>
      <w:r w:rsidRPr="000856CB">
        <w:rPr>
          <w:rFonts w:ascii="David" w:hAnsi="David" w:cs="David"/>
          <w:sz w:val="24"/>
          <w:szCs w:val="24"/>
          <w:rtl/>
        </w:rPr>
        <w:t xml:space="preserve">). כדי לאפשר ללקוח להעביר את חשבון </w:t>
      </w:r>
      <w:proofErr w:type="spellStart"/>
      <w:r w:rsidRPr="000856CB">
        <w:rPr>
          <w:rFonts w:ascii="David" w:hAnsi="David" w:cs="David"/>
          <w:sz w:val="24"/>
          <w:szCs w:val="24"/>
          <w:rtl/>
        </w:rPr>
        <w:t>העו"ש</w:t>
      </w:r>
      <w:proofErr w:type="spellEnd"/>
      <w:r w:rsidRPr="000856CB">
        <w:rPr>
          <w:rFonts w:ascii="David" w:hAnsi="David" w:cs="David"/>
          <w:sz w:val="24"/>
          <w:szCs w:val="24"/>
          <w:rtl/>
        </w:rPr>
        <w:t xml:space="preserve"> מבנק אחד לבנק אחר נדרש טיפול מקיף בכלל הפעילויות הפיננסיות שלו, וכל זאת בתוך זמן קצוב.</w:t>
      </w:r>
    </w:p>
    <w:p w14:paraId="5E3B27DD" w14:textId="77777777" w:rsidR="0079340F" w:rsidRPr="000856CB" w:rsidRDefault="0079340F" w:rsidP="0079340F">
      <w:pPr>
        <w:tabs>
          <w:tab w:val="left" w:pos="567"/>
          <w:tab w:val="left" w:pos="1134"/>
          <w:tab w:val="left" w:pos="1814"/>
          <w:tab w:val="left" w:pos="2665"/>
        </w:tabs>
        <w:spacing w:before="120" w:after="0" w:line="360" w:lineRule="auto"/>
        <w:jc w:val="both"/>
        <w:rPr>
          <w:rFonts w:ascii="David" w:hAnsi="David" w:cs="David"/>
          <w:sz w:val="24"/>
          <w:szCs w:val="24"/>
          <w:rtl/>
        </w:rPr>
      </w:pPr>
      <w:r w:rsidRPr="000856CB">
        <w:rPr>
          <w:rFonts w:ascii="David" w:hAnsi="David" w:cs="David"/>
          <w:sz w:val="24"/>
          <w:szCs w:val="24"/>
          <w:rtl/>
        </w:rPr>
        <w:lastRenderedPageBreak/>
        <w:t xml:space="preserve">מורכבות נוספת של הפרויקט בישראל נובעת מאופן ההתנהלות של הלקוחות בישראל  ומצורכיהם, שהם שונים מאשר בבריטניה. השוני העיקרי הוא באופי השימוש בצ'קים – ריבוי של צ'קים דחויים, תופעה שאינה קיימת  בבריטניה. על כן, כדי להבטיח ללקוח קלות במעבר מבנק לבנק נדרש לאפשר להמשיך ולכבד את הצ'קים שניתנו מהפנקסים בחשבון הישן באמצעות החשבון החדש – עניין מורכב ביותר. גם העובדה שבישראל חלק ניכר מחשבונות משקי הבית מצויים במשיכת יתר מקשה על מעבר אוטומטי של יתרות מחשבון ישן לחשבון חדש, שכן על אף חובתם של הבנקים לפתוח חשבונות עו"ש אין עליהם חובה להעמיד אשראי ללקוחותיהם. </w:t>
      </w:r>
    </w:p>
    <w:p w14:paraId="1E754345" w14:textId="77777777" w:rsidR="0079340F" w:rsidRPr="000856CB" w:rsidRDefault="0079340F" w:rsidP="0079340F">
      <w:pPr>
        <w:tabs>
          <w:tab w:val="left" w:pos="567"/>
          <w:tab w:val="left" w:pos="1134"/>
          <w:tab w:val="left" w:pos="1814"/>
          <w:tab w:val="left" w:pos="2665"/>
        </w:tabs>
        <w:spacing w:before="120" w:after="0" w:line="360" w:lineRule="auto"/>
        <w:jc w:val="both"/>
        <w:rPr>
          <w:rFonts w:ascii="David" w:hAnsi="David" w:cs="David"/>
          <w:sz w:val="24"/>
          <w:szCs w:val="24"/>
          <w:rtl/>
        </w:rPr>
      </w:pPr>
      <w:r w:rsidRPr="000856CB">
        <w:rPr>
          <w:rFonts w:ascii="David" w:hAnsi="David" w:cs="David"/>
          <w:sz w:val="24"/>
          <w:szCs w:val="24"/>
          <w:rtl/>
        </w:rPr>
        <w:t xml:space="preserve">לאחר השלמת השלבים השונים של הפרויקט – כגון הגדרת סוגי פעילויות וחשבונות לניוד בחקיקה, השלמת האפיון הטכנולוגי על ידי הבנקים </w:t>
      </w:r>
      <w:proofErr w:type="spellStart"/>
      <w:r w:rsidRPr="000856CB">
        <w:rPr>
          <w:rFonts w:ascii="David" w:hAnsi="David" w:cs="David"/>
          <w:sz w:val="24"/>
          <w:szCs w:val="24"/>
          <w:rtl/>
        </w:rPr>
        <w:t>ומס"ב</w:t>
      </w:r>
      <w:proofErr w:type="spellEnd"/>
      <w:r w:rsidRPr="000856CB">
        <w:rPr>
          <w:rFonts w:ascii="David" w:hAnsi="David" w:cs="David"/>
          <w:sz w:val="24"/>
          <w:szCs w:val="24"/>
          <w:rtl/>
        </w:rPr>
        <w:t>, ביצוע הפיתוח הטכנולוגי באופן מסונכרן בין כל הבנקים ובכל בנק במערכותיו שלו, ביצוע תיקוני חקיקה משלימים, ביצוע כל הבדיקות הנדרשות ועוד – תידרש הגברה של מודעות הציבור להקלת הניוד.</w:t>
      </w:r>
    </w:p>
    <w:p w14:paraId="13A27CD2" w14:textId="77777777" w:rsidR="0079340F" w:rsidRPr="000856CB" w:rsidRDefault="0079340F" w:rsidP="0079340F">
      <w:pPr>
        <w:spacing w:line="360" w:lineRule="auto"/>
        <w:jc w:val="both"/>
        <w:rPr>
          <w:rFonts w:ascii="David" w:hAnsi="David" w:cs="David"/>
          <w:sz w:val="24"/>
          <w:szCs w:val="24"/>
          <w:u w:val="single"/>
          <w:rtl/>
        </w:rPr>
      </w:pPr>
      <w:r w:rsidRPr="000856CB">
        <w:rPr>
          <w:rFonts w:ascii="David" w:hAnsi="David" w:cs="David"/>
          <w:sz w:val="24"/>
          <w:szCs w:val="24"/>
          <w:u w:val="single"/>
          <w:rtl/>
        </w:rPr>
        <w:t>סוגי חשבונות ופעילויות לניוד ולניתוב</w:t>
      </w:r>
    </w:p>
    <w:p w14:paraId="5B9B3418" w14:textId="77777777" w:rsidR="0079340F" w:rsidRPr="000856CB" w:rsidRDefault="0079340F" w:rsidP="0079340F">
      <w:pPr>
        <w:spacing w:line="360" w:lineRule="auto"/>
        <w:jc w:val="both"/>
        <w:rPr>
          <w:rFonts w:ascii="David" w:hAnsi="David" w:cs="David"/>
          <w:sz w:val="24"/>
          <w:szCs w:val="24"/>
          <w:rtl/>
        </w:rPr>
      </w:pPr>
      <w:r w:rsidRPr="000856CB">
        <w:rPr>
          <w:rFonts w:ascii="David" w:hAnsi="David" w:cs="David"/>
          <w:sz w:val="24"/>
          <w:szCs w:val="24"/>
          <w:rtl/>
        </w:rPr>
        <w:t>בנובמבר 2018 פורסמו כללי הנגיד לעניין סוגי חשבונות שהבנקים חייבים לאפשר את ניודם באמצעות המערכת המקוונת. כ-80% מחשבונות משקי הבית יוכלו להתנייד במערכת זו. החשבונות שאינם נכללים בחובת הניוד הם חשבונות בעלי מורכבות משפטית או מניעה משפטית – חשבונות שחל עליהם עיקול או צו מניעה, חשבונות של נפטרים וכיוצא באלה.</w:t>
      </w:r>
    </w:p>
    <w:p w14:paraId="6C2A5236" w14:textId="77777777" w:rsidR="0079340F" w:rsidRPr="000856CB" w:rsidRDefault="0079340F" w:rsidP="0079340F">
      <w:pPr>
        <w:spacing w:line="360" w:lineRule="auto"/>
        <w:jc w:val="both"/>
        <w:rPr>
          <w:rFonts w:ascii="David" w:hAnsi="David" w:cs="David"/>
          <w:sz w:val="24"/>
          <w:szCs w:val="24"/>
          <w:rtl/>
        </w:rPr>
      </w:pPr>
      <w:r w:rsidRPr="000856CB">
        <w:rPr>
          <w:rFonts w:ascii="David" w:hAnsi="David" w:cs="David"/>
          <w:sz w:val="24"/>
          <w:szCs w:val="24"/>
          <w:rtl/>
        </w:rPr>
        <w:lastRenderedPageBreak/>
        <w:t xml:space="preserve">במהלך שנת 2019 יפרסם בנק ישראל את כללי הנגיד לעניין סוגי הפעילויות שניתן לנייד ולנתב במסגרת המערכת המקוונת וכן הוראות ניהול בנקאי תקין של המפקחת על הבנקים בעניין זה. </w:t>
      </w:r>
    </w:p>
    <w:p w14:paraId="2EA0C520" w14:textId="77777777" w:rsidR="0079340F" w:rsidRPr="000856CB" w:rsidRDefault="0079340F" w:rsidP="0079340F">
      <w:pPr>
        <w:spacing w:line="360" w:lineRule="auto"/>
        <w:jc w:val="both"/>
        <w:rPr>
          <w:rFonts w:ascii="David" w:hAnsi="David" w:cs="David"/>
          <w:sz w:val="24"/>
          <w:szCs w:val="24"/>
        </w:rPr>
      </w:pPr>
      <w:r w:rsidRPr="000856CB">
        <w:rPr>
          <w:rFonts w:ascii="David" w:hAnsi="David" w:cs="David"/>
          <w:sz w:val="24"/>
          <w:szCs w:val="24"/>
          <w:rtl/>
        </w:rPr>
        <w:t>כללי הנגיד והוראות ביצוע אלו יפרטו את סוגי החשבונות, המוצרים והשירותים השונים בבנקים שהם  חייבים לאפשר את ניודם, ויציגו את תהליך הניוד לשלביו השונים ומול הממשקים הנדרשים.</w:t>
      </w:r>
    </w:p>
    <w:p w14:paraId="4925750A" w14:textId="23919C8A" w:rsidR="009F5D78" w:rsidRPr="000856CB" w:rsidRDefault="009F5D78" w:rsidP="0079340F">
      <w:pPr>
        <w:jc w:val="center"/>
        <w:rPr>
          <w:rFonts w:cs="David"/>
          <w:sz w:val="24"/>
          <w:szCs w:val="24"/>
        </w:rPr>
      </w:pPr>
    </w:p>
    <w:sectPr w:rsidR="009F5D78" w:rsidRPr="000856CB" w:rsidSect="00CC7E20">
      <w:head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2EA81" w14:textId="77777777" w:rsidR="000C7234" w:rsidRDefault="000C7234" w:rsidP="00807E01">
      <w:pPr>
        <w:spacing w:after="0" w:line="240" w:lineRule="auto"/>
      </w:pPr>
      <w:r>
        <w:separator/>
      </w:r>
    </w:p>
  </w:endnote>
  <w:endnote w:type="continuationSeparator" w:id="0">
    <w:p w14:paraId="4FD8F9A8" w14:textId="77777777" w:rsidR="000C7234" w:rsidRDefault="000C7234" w:rsidP="00807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A9085" w14:textId="77777777" w:rsidR="000C7234" w:rsidRDefault="000C7234" w:rsidP="00807E01">
      <w:pPr>
        <w:spacing w:after="0" w:line="240" w:lineRule="auto"/>
      </w:pPr>
      <w:r>
        <w:separator/>
      </w:r>
    </w:p>
  </w:footnote>
  <w:footnote w:type="continuationSeparator" w:id="0">
    <w:p w14:paraId="3433E025" w14:textId="77777777" w:rsidR="000C7234" w:rsidRDefault="000C7234" w:rsidP="00807E01">
      <w:pPr>
        <w:spacing w:after="0" w:line="240" w:lineRule="auto"/>
      </w:pPr>
      <w:r>
        <w:continuationSeparator/>
      </w:r>
    </w:p>
  </w:footnote>
  <w:footnote w:id="1">
    <w:p w14:paraId="2BE12341" w14:textId="77777777" w:rsidR="0079340F" w:rsidRPr="006E6ED2" w:rsidRDefault="0079340F" w:rsidP="0079340F">
      <w:pPr>
        <w:pStyle w:val="a3"/>
        <w:rPr>
          <w:rFonts w:ascii="David" w:hAnsi="David" w:cs="David"/>
          <w:rtl/>
        </w:rPr>
      </w:pPr>
      <w:r w:rsidRPr="006E6ED2">
        <w:rPr>
          <w:rStyle w:val="a5"/>
          <w:rFonts w:ascii="David" w:hAnsi="David" w:cs="David"/>
        </w:rPr>
        <w:footnoteRef/>
      </w:r>
      <w:r w:rsidRPr="006E6ED2">
        <w:rPr>
          <w:rFonts w:ascii="David" w:hAnsi="David" w:cs="David"/>
          <w:rtl/>
        </w:rPr>
        <w:t xml:space="preserve"> במסגרת חקיקת חוק התוכנית הכלכלית </w:t>
      </w:r>
      <w:proofErr w:type="spellStart"/>
      <w:r w:rsidRPr="006E6ED2">
        <w:rPr>
          <w:rFonts w:ascii="David" w:hAnsi="David" w:cs="David"/>
          <w:rtl/>
        </w:rPr>
        <w:t>התשע"ח</w:t>
      </w:r>
      <w:proofErr w:type="spellEnd"/>
      <w:r w:rsidRPr="006E6ED2">
        <w:rPr>
          <w:rFonts w:ascii="David" w:hAnsi="David" w:cs="David"/>
          <w:rtl/>
        </w:rPr>
        <w:t xml:space="preserve"> -2018 </w:t>
      </w:r>
    </w:p>
  </w:footnote>
  <w:footnote w:id="2">
    <w:p w14:paraId="77123A98" w14:textId="77777777" w:rsidR="0079340F" w:rsidRPr="006E6ED2" w:rsidRDefault="0079340F" w:rsidP="0079340F">
      <w:pPr>
        <w:pStyle w:val="a3"/>
        <w:jc w:val="both"/>
        <w:rPr>
          <w:rFonts w:ascii="David" w:hAnsi="David" w:cs="David"/>
          <w:rtl/>
        </w:rPr>
      </w:pPr>
      <w:r w:rsidRPr="006E6ED2">
        <w:rPr>
          <w:rStyle w:val="a5"/>
          <w:rFonts w:ascii="David" w:hAnsi="David" w:cs="David"/>
        </w:rPr>
        <w:footnoteRef/>
      </w:r>
      <w:r w:rsidRPr="006E6ED2">
        <w:rPr>
          <w:rFonts w:ascii="David" w:hAnsi="David" w:cs="David"/>
          <w:rtl/>
        </w:rPr>
        <w:t xml:space="preserve"> שיעור המעברים בין חשבונות הבנק בישראל חושב באמצעות מסד ייחודי של נתונים שנאספו בפיקוח על הבנקים. מסד הנתונים מאפשר לבחון פתיחה של חשבונות במערכת הבנקאית בחלוקה לסוגי פעילות שונים: עו"ש, פיקדונות, חסכונות, הלוואות צרכניות, הלוואות לדיור וניירות ערך.</w:t>
      </w:r>
    </w:p>
  </w:footnote>
  <w:footnote w:id="3">
    <w:p w14:paraId="115ECC16" w14:textId="77777777" w:rsidR="0079340F" w:rsidRPr="006E6ED2" w:rsidRDefault="0079340F" w:rsidP="0079340F">
      <w:pPr>
        <w:pStyle w:val="a3"/>
        <w:rPr>
          <w:rFonts w:ascii="David" w:hAnsi="David" w:cs="David"/>
          <w:rtl/>
        </w:rPr>
      </w:pPr>
      <w:r w:rsidRPr="006E6ED2">
        <w:rPr>
          <w:rStyle w:val="a5"/>
          <w:rFonts w:ascii="David" w:hAnsi="David" w:cs="David"/>
        </w:rPr>
        <w:footnoteRef/>
      </w:r>
      <w:r w:rsidRPr="006E6ED2">
        <w:rPr>
          <w:rFonts w:ascii="David" w:hAnsi="David" w:cs="David"/>
          <w:rtl/>
        </w:rPr>
        <w:t xml:space="preserve"> </w:t>
      </w:r>
      <w:proofErr w:type="spellStart"/>
      <w:r w:rsidRPr="006E6ED2">
        <w:rPr>
          <w:rFonts w:ascii="David" w:hAnsi="David" w:cs="David"/>
        </w:rPr>
        <w:t>BankRate</w:t>
      </w:r>
      <w:proofErr w:type="spellEnd"/>
      <w:r w:rsidRPr="006E6ED2">
        <w:rPr>
          <w:rFonts w:ascii="David" w:hAnsi="David" w:cs="David"/>
          <w:rtl/>
        </w:rPr>
        <w:t xml:space="preserve"> היא חברה אמריקאית לצרכנות פיננסית, המספקת תוכן חינוכי פיננסי, וכן השוואת עלויות של מוצרים פיננסיים שונים. </w:t>
      </w:r>
    </w:p>
  </w:footnote>
  <w:footnote w:id="4">
    <w:p w14:paraId="7CC82CFF" w14:textId="77777777" w:rsidR="0079340F" w:rsidRPr="006E6ED2" w:rsidRDefault="0079340F" w:rsidP="0079340F">
      <w:pPr>
        <w:pStyle w:val="a3"/>
        <w:rPr>
          <w:rFonts w:ascii="David" w:hAnsi="David" w:cs="David"/>
          <w:rtl/>
        </w:rPr>
      </w:pPr>
      <w:r w:rsidRPr="006E6ED2">
        <w:rPr>
          <w:rStyle w:val="a5"/>
          <w:rFonts w:ascii="David" w:hAnsi="David" w:cs="David"/>
        </w:rPr>
        <w:footnoteRef/>
      </w:r>
      <w:r w:rsidRPr="006E6ED2">
        <w:rPr>
          <w:rFonts w:ascii="David" w:hAnsi="David" w:cs="David"/>
          <w:rtl/>
        </w:rPr>
        <w:t xml:space="preserve"> מתוך סקר של ה-</w:t>
      </w:r>
      <w:proofErr w:type="spellStart"/>
      <w:r w:rsidRPr="006E6ED2">
        <w:rPr>
          <w:rFonts w:ascii="David" w:hAnsi="David" w:cs="David"/>
        </w:rPr>
        <w:t>BankRate</w:t>
      </w:r>
      <w:proofErr w:type="spellEnd"/>
      <w:r w:rsidRPr="006E6ED2">
        <w:rPr>
          <w:rFonts w:ascii="David" w:hAnsi="David" w:cs="David"/>
          <w:rtl/>
        </w:rPr>
        <w:t>.</w:t>
      </w:r>
    </w:p>
  </w:footnote>
  <w:footnote w:id="5">
    <w:p w14:paraId="26733E01" w14:textId="77777777" w:rsidR="0079340F" w:rsidRPr="006E6ED2" w:rsidRDefault="0079340F" w:rsidP="0079340F">
      <w:pPr>
        <w:pStyle w:val="a3"/>
        <w:rPr>
          <w:rFonts w:ascii="David" w:hAnsi="David" w:cs="David"/>
          <w:rtl/>
        </w:rPr>
      </w:pPr>
      <w:r w:rsidRPr="006E6ED2">
        <w:rPr>
          <w:rStyle w:val="a5"/>
          <w:rFonts w:ascii="David" w:hAnsi="David" w:cs="David"/>
        </w:rPr>
        <w:footnoteRef/>
      </w:r>
      <w:r w:rsidRPr="006E6ED2">
        <w:rPr>
          <w:rFonts w:ascii="David" w:hAnsi="David" w:cs="David"/>
          <w:rtl/>
        </w:rPr>
        <w:t xml:space="preserve"> מתוך סקר של </w:t>
      </w:r>
      <w:r w:rsidRPr="006E6ED2">
        <w:rPr>
          <w:rFonts w:ascii="David" w:hAnsi="David" w:cs="David"/>
        </w:rPr>
        <w:t>GALLUP</w:t>
      </w:r>
      <w:r w:rsidRPr="006E6ED2">
        <w:rPr>
          <w:rFonts w:ascii="David" w:hAnsi="David" w:cs="David"/>
          <w:rtl/>
        </w:rPr>
        <w:t>, חברת ייעוץ מובילה בארה"ב.</w:t>
      </w:r>
    </w:p>
  </w:footnote>
  <w:footnote w:id="6">
    <w:p w14:paraId="2E1E8082" w14:textId="77777777" w:rsidR="0079340F" w:rsidRPr="006E6ED2" w:rsidRDefault="0079340F" w:rsidP="0079340F">
      <w:pPr>
        <w:pStyle w:val="a3"/>
        <w:rPr>
          <w:rFonts w:ascii="David" w:hAnsi="David" w:cs="David"/>
          <w:rtl/>
        </w:rPr>
      </w:pPr>
      <w:r w:rsidRPr="006E6ED2">
        <w:rPr>
          <w:rStyle w:val="a5"/>
          <w:rFonts w:ascii="David" w:hAnsi="David" w:cs="David"/>
        </w:rPr>
        <w:footnoteRef/>
      </w:r>
      <w:r w:rsidRPr="006E6ED2">
        <w:rPr>
          <w:rFonts w:ascii="David" w:hAnsi="David" w:cs="David"/>
          <w:rtl/>
        </w:rPr>
        <w:t xml:space="preserve"> במסגרת חקיקת חוק התוכנית הכלכלית </w:t>
      </w:r>
      <w:proofErr w:type="spellStart"/>
      <w:r w:rsidRPr="006E6ED2">
        <w:rPr>
          <w:rFonts w:ascii="David" w:hAnsi="David" w:cs="David"/>
          <w:rtl/>
        </w:rPr>
        <w:t>התשע"ח</w:t>
      </w:r>
      <w:proofErr w:type="spellEnd"/>
      <w:r w:rsidRPr="006E6ED2">
        <w:rPr>
          <w:rFonts w:ascii="David" w:hAnsi="David" w:cs="David"/>
          <w:rtl/>
        </w:rPr>
        <w:t xml:space="preserve"> -2018 </w:t>
      </w:r>
    </w:p>
  </w:footnote>
  <w:footnote w:id="7">
    <w:p w14:paraId="6334D464" w14:textId="77777777" w:rsidR="0079340F" w:rsidRPr="006E6ED2" w:rsidRDefault="0079340F" w:rsidP="0079340F">
      <w:pPr>
        <w:pStyle w:val="a3"/>
        <w:rPr>
          <w:rFonts w:ascii="David" w:hAnsi="David" w:cs="David"/>
        </w:rPr>
      </w:pPr>
      <w:r w:rsidRPr="006E6ED2">
        <w:rPr>
          <w:rStyle w:val="a5"/>
          <w:rFonts w:ascii="David" w:hAnsi="David" w:cs="David"/>
        </w:rPr>
        <w:footnoteRef/>
      </w:r>
      <w:r w:rsidRPr="006E6ED2">
        <w:rPr>
          <w:rFonts w:ascii="David" w:hAnsi="David" w:cs="David"/>
          <w:rtl/>
        </w:rPr>
        <w:t xml:space="preserve"> </w:t>
      </w:r>
      <w:r w:rsidRPr="006E6ED2">
        <w:rPr>
          <w:rFonts w:ascii="David" w:hAnsi="David" w:cs="David"/>
        </w:rPr>
        <w:t>Current Account Switch Service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D6D06" w14:textId="77777777" w:rsidR="00BF2C34" w:rsidRDefault="00BF2C34" w:rsidP="00D430C7">
    <w:pPr>
      <w:pStyle w:val="af"/>
    </w:pPr>
  </w:p>
  <w:p w14:paraId="2ABC4E15" w14:textId="77777777" w:rsidR="00BF2C34" w:rsidRDefault="00BF2C34" w:rsidP="00D430C7">
    <w:pPr>
      <w:pStyle w:val="af"/>
    </w:pPr>
  </w:p>
  <w:p w14:paraId="150C395F" w14:textId="77777777" w:rsidR="00BF2C34" w:rsidRPr="00724153" w:rsidRDefault="00BF2C34" w:rsidP="00D430C7">
    <w:pPr>
      <w:pStyle w:val="af"/>
      <w:tabs>
        <w:tab w:val="clear" w:pos="4153"/>
        <w:tab w:val="clear" w:pos="8306"/>
        <w:tab w:val="left" w:pos="2948"/>
      </w:tabs>
    </w:pPr>
    <w:bookmarkStart w:id="2" w:name="T005"/>
    <w:bookmarkStart w:id="3" w:name="Flag"/>
    <w:bookmarkEnd w:id="2"/>
    <w:bookmarkEnd w:id="3"/>
    <w:r>
      <w:rPr>
        <w:rtl/>
      </w:rPr>
      <w:tab/>
    </w:r>
  </w:p>
  <w:p w14:paraId="48789881" w14:textId="77777777" w:rsidR="00BF2C34" w:rsidRPr="00724153" w:rsidRDefault="00BF2C34" w:rsidP="004C4BCF">
    <w:pPr>
      <w:pStyle w:val="af"/>
      <w:tabs>
        <w:tab w:val="clear" w:pos="4153"/>
        <w:tab w:val="clear" w:pos="8306"/>
        <w:tab w:val="left" w:pos="294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265B9"/>
    <w:multiLevelType w:val="hybridMultilevel"/>
    <w:tmpl w:val="6D6411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DD118AF"/>
    <w:multiLevelType w:val="hybridMultilevel"/>
    <w:tmpl w:val="4D786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047A1E"/>
    <w:multiLevelType w:val="multilevel"/>
    <w:tmpl w:val="F306B302"/>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rPr>
        <w:rFonts w:hint="default"/>
      </w:r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3" w15:restartNumberingAfterBreak="0">
    <w:nsid w:val="6FBB2AF7"/>
    <w:multiLevelType w:val="hybridMultilevel"/>
    <w:tmpl w:val="EF8A1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מירי רוזנשטוק">
    <w15:presenceInfo w15:providerId="AD" w15:userId="S-1-5-21-2000478354-1614895754-839522115-546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BA5"/>
    <w:rsid w:val="00014CAA"/>
    <w:rsid w:val="00016EE0"/>
    <w:rsid w:val="000231DB"/>
    <w:rsid w:val="00027353"/>
    <w:rsid w:val="000856CB"/>
    <w:rsid w:val="000956F2"/>
    <w:rsid w:val="000B20E0"/>
    <w:rsid w:val="000C5060"/>
    <w:rsid w:val="000C7234"/>
    <w:rsid w:val="000D044B"/>
    <w:rsid w:val="000E72DF"/>
    <w:rsid w:val="000F18EA"/>
    <w:rsid w:val="00112C10"/>
    <w:rsid w:val="00113472"/>
    <w:rsid w:val="001173CC"/>
    <w:rsid w:val="00117BF2"/>
    <w:rsid w:val="00125BEC"/>
    <w:rsid w:val="00126100"/>
    <w:rsid w:val="00152C04"/>
    <w:rsid w:val="00164EAA"/>
    <w:rsid w:val="001931EE"/>
    <w:rsid w:val="001B0DEF"/>
    <w:rsid w:val="001B378F"/>
    <w:rsid w:val="001D2D82"/>
    <w:rsid w:val="001E700E"/>
    <w:rsid w:val="001F5F2F"/>
    <w:rsid w:val="002079CF"/>
    <w:rsid w:val="00214E3A"/>
    <w:rsid w:val="00216AE9"/>
    <w:rsid w:val="00221205"/>
    <w:rsid w:val="00227B81"/>
    <w:rsid w:val="0023215B"/>
    <w:rsid w:val="00233062"/>
    <w:rsid w:val="00253F65"/>
    <w:rsid w:val="00280234"/>
    <w:rsid w:val="00290594"/>
    <w:rsid w:val="00291B5B"/>
    <w:rsid w:val="002945C3"/>
    <w:rsid w:val="002950C3"/>
    <w:rsid w:val="002B13F8"/>
    <w:rsid w:val="002B74CA"/>
    <w:rsid w:val="002C7F84"/>
    <w:rsid w:val="002E07DE"/>
    <w:rsid w:val="002E1871"/>
    <w:rsid w:val="002E7591"/>
    <w:rsid w:val="002F0BAA"/>
    <w:rsid w:val="002F2846"/>
    <w:rsid w:val="002F6C92"/>
    <w:rsid w:val="002F719C"/>
    <w:rsid w:val="003008EE"/>
    <w:rsid w:val="00303FB1"/>
    <w:rsid w:val="00317FF8"/>
    <w:rsid w:val="0034076C"/>
    <w:rsid w:val="003424CD"/>
    <w:rsid w:val="00372FD8"/>
    <w:rsid w:val="00374E0F"/>
    <w:rsid w:val="00380769"/>
    <w:rsid w:val="003B7EAB"/>
    <w:rsid w:val="003C5602"/>
    <w:rsid w:val="003E2975"/>
    <w:rsid w:val="003F11AC"/>
    <w:rsid w:val="003F219B"/>
    <w:rsid w:val="003F2693"/>
    <w:rsid w:val="003F5D1A"/>
    <w:rsid w:val="00414D91"/>
    <w:rsid w:val="004165FF"/>
    <w:rsid w:val="004243FD"/>
    <w:rsid w:val="00426320"/>
    <w:rsid w:val="00431EFB"/>
    <w:rsid w:val="00436F89"/>
    <w:rsid w:val="0043747F"/>
    <w:rsid w:val="00440F74"/>
    <w:rsid w:val="00450D4E"/>
    <w:rsid w:val="00451320"/>
    <w:rsid w:val="00455548"/>
    <w:rsid w:val="00467573"/>
    <w:rsid w:val="0047443A"/>
    <w:rsid w:val="00480CD5"/>
    <w:rsid w:val="00480EBF"/>
    <w:rsid w:val="004864D1"/>
    <w:rsid w:val="00490423"/>
    <w:rsid w:val="004959F8"/>
    <w:rsid w:val="00496C45"/>
    <w:rsid w:val="004A4656"/>
    <w:rsid w:val="004B3D3E"/>
    <w:rsid w:val="004C4BCF"/>
    <w:rsid w:val="004C4D20"/>
    <w:rsid w:val="004D5215"/>
    <w:rsid w:val="004E2FD5"/>
    <w:rsid w:val="004E3FF4"/>
    <w:rsid w:val="004E62B4"/>
    <w:rsid w:val="00512897"/>
    <w:rsid w:val="00532ADA"/>
    <w:rsid w:val="00540BA5"/>
    <w:rsid w:val="00553A8D"/>
    <w:rsid w:val="005627EF"/>
    <w:rsid w:val="00564DBD"/>
    <w:rsid w:val="00566B01"/>
    <w:rsid w:val="00570D06"/>
    <w:rsid w:val="005818C1"/>
    <w:rsid w:val="0058268C"/>
    <w:rsid w:val="00584B59"/>
    <w:rsid w:val="00590F03"/>
    <w:rsid w:val="0059222C"/>
    <w:rsid w:val="00597AB6"/>
    <w:rsid w:val="005A1500"/>
    <w:rsid w:val="005A1A09"/>
    <w:rsid w:val="005A2542"/>
    <w:rsid w:val="005C3964"/>
    <w:rsid w:val="005C49E1"/>
    <w:rsid w:val="005E5A0E"/>
    <w:rsid w:val="005F50F6"/>
    <w:rsid w:val="00606179"/>
    <w:rsid w:val="00611E44"/>
    <w:rsid w:val="006138FB"/>
    <w:rsid w:val="00613920"/>
    <w:rsid w:val="00615A3F"/>
    <w:rsid w:val="0062252D"/>
    <w:rsid w:val="006226DF"/>
    <w:rsid w:val="00626FA6"/>
    <w:rsid w:val="00630E54"/>
    <w:rsid w:val="006405CE"/>
    <w:rsid w:val="00642067"/>
    <w:rsid w:val="00647837"/>
    <w:rsid w:val="00651E74"/>
    <w:rsid w:val="00656853"/>
    <w:rsid w:val="00670BE6"/>
    <w:rsid w:val="00682A0B"/>
    <w:rsid w:val="00684A25"/>
    <w:rsid w:val="006A1219"/>
    <w:rsid w:val="006C1322"/>
    <w:rsid w:val="006C28AB"/>
    <w:rsid w:val="006D7003"/>
    <w:rsid w:val="0071032E"/>
    <w:rsid w:val="0071525E"/>
    <w:rsid w:val="00720294"/>
    <w:rsid w:val="00724153"/>
    <w:rsid w:val="007242FE"/>
    <w:rsid w:val="00731632"/>
    <w:rsid w:val="00757EEC"/>
    <w:rsid w:val="00761045"/>
    <w:rsid w:val="00763114"/>
    <w:rsid w:val="00777CE4"/>
    <w:rsid w:val="00782E6A"/>
    <w:rsid w:val="0079340F"/>
    <w:rsid w:val="00793FEE"/>
    <w:rsid w:val="00796FEA"/>
    <w:rsid w:val="007B5BA4"/>
    <w:rsid w:val="007C4217"/>
    <w:rsid w:val="007C450D"/>
    <w:rsid w:val="007C6BB5"/>
    <w:rsid w:val="007D1CFA"/>
    <w:rsid w:val="007D258C"/>
    <w:rsid w:val="007E0751"/>
    <w:rsid w:val="00802B0A"/>
    <w:rsid w:val="00802B1E"/>
    <w:rsid w:val="00806ED9"/>
    <w:rsid w:val="00807E01"/>
    <w:rsid w:val="00813B13"/>
    <w:rsid w:val="00815A62"/>
    <w:rsid w:val="008336B0"/>
    <w:rsid w:val="00865E10"/>
    <w:rsid w:val="00872094"/>
    <w:rsid w:val="0087250C"/>
    <w:rsid w:val="008801E2"/>
    <w:rsid w:val="008A6F40"/>
    <w:rsid w:val="008B31FA"/>
    <w:rsid w:val="008C4601"/>
    <w:rsid w:val="008D6E46"/>
    <w:rsid w:val="008F40F0"/>
    <w:rsid w:val="008F4254"/>
    <w:rsid w:val="008F717D"/>
    <w:rsid w:val="00915355"/>
    <w:rsid w:val="009153BF"/>
    <w:rsid w:val="009252B7"/>
    <w:rsid w:val="00937442"/>
    <w:rsid w:val="00945F6A"/>
    <w:rsid w:val="00974A33"/>
    <w:rsid w:val="00975CF8"/>
    <w:rsid w:val="009B7991"/>
    <w:rsid w:val="009C18A8"/>
    <w:rsid w:val="009F5D78"/>
    <w:rsid w:val="00A00868"/>
    <w:rsid w:val="00A1776E"/>
    <w:rsid w:val="00A348BB"/>
    <w:rsid w:val="00A35D69"/>
    <w:rsid w:val="00A57B7D"/>
    <w:rsid w:val="00A70B43"/>
    <w:rsid w:val="00A773DE"/>
    <w:rsid w:val="00AA029A"/>
    <w:rsid w:val="00AA42F1"/>
    <w:rsid w:val="00AA6E0A"/>
    <w:rsid w:val="00AB24A2"/>
    <w:rsid w:val="00AB7A60"/>
    <w:rsid w:val="00AC23BE"/>
    <w:rsid w:val="00AC6A35"/>
    <w:rsid w:val="00AC70ED"/>
    <w:rsid w:val="00AD3286"/>
    <w:rsid w:val="00AF6D64"/>
    <w:rsid w:val="00B162F8"/>
    <w:rsid w:val="00B16B73"/>
    <w:rsid w:val="00B3229C"/>
    <w:rsid w:val="00B53092"/>
    <w:rsid w:val="00B622DA"/>
    <w:rsid w:val="00B7485D"/>
    <w:rsid w:val="00B77261"/>
    <w:rsid w:val="00B91F0C"/>
    <w:rsid w:val="00B923F3"/>
    <w:rsid w:val="00BB058D"/>
    <w:rsid w:val="00BC4AC2"/>
    <w:rsid w:val="00BE14D1"/>
    <w:rsid w:val="00BF2C34"/>
    <w:rsid w:val="00C0333C"/>
    <w:rsid w:val="00C109A7"/>
    <w:rsid w:val="00C25598"/>
    <w:rsid w:val="00C25989"/>
    <w:rsid w:val="00C264F7"/>
    <w:rsid w:val="00C274AF"/>
    <w:rsid w:val="00C3012C"/>
    <w:rsid w:val="00C34100"/>
    <w:rsid w:val="00C477DC"/>
    <w:rsid w:val="00C47F5A"/>
    <w:rsid w:val="00C655B7"/>
    <w:rsid w:val="00C7487C"/>
    <w:rsid w:val="00C754D6"/>
    <w:rsid w:val="00C80B26"/>
    <w:rsid w:val="00C8172C"/>
    <w:rsid w:val="00C934EB"/>
    <w:rsid w:val="00CA77CE"/>
    <w:rsid w:val="00CC070D"/>
    <w:rsid w:val="00CC7E20"/>
    <w:rsid w:val="00CD0A54"/>
    <w:rsid w:val="00CD6BA5"/>
    <w:rsid w:val="00CE2817"/>
    <w:rsid w:val="00CF245A"/>
    <w:rsid w:val="00CF2537"/>
    <w:rsid w:val="00D0177D"/>
    <w:rsid w:val="00D12893"/>
    <w:rsid w:val="00D247FB"/>
    <w:rsid w:val="00D24C2D"/>
    <w:rsid w:val="00D430C7"/>
    <w:rsid w:val="00D50096"/>
    <w:rsid w:val="00D71CBC"/>
    <w:rsid w:val="00D77C21"/>
    <w:rsid w:val="00D93E3E"/>
    <w:rsid w:val="00DA4B12"/>
    <w:rsid w:val="00DA6001"/>
    <w:rsid w:val="00DB0CA1"/>
    <w:rsid w:val="00DB2540"/>
    <w:rsid w:val="00DB34CD"/>
    <w:rsid w:val="00DC5600"/>
    <w:rsid w:val="00DD7D0E"/>
    <w:rsid w:val="00DE7146"/>
    <w:rsid w:val="00DF2894"/>
    <w:rsid w:val="00E00FCE"/>
    <w:rsid w:val="00E01D81"/>
    <w:rsid w:val="00E13964"/>
    <w:rsid w:val="00E16D09"/>
    <w:rsid w:val="00E31FB0"/>
    <w:rsid w:val="00E348F1"/>
    <w:rsid w:val="00E44F41"/>
    <w:rsid w:val="00E61117"/>
    <w:rsid w:val="00E634BA"/>
    <w:rsid w:val="00E6711B"/>
    <w:rsid w:val="00E717DD"/>
    <w:rsid w:val="00E73000"/>
    <w:rsid w:val="00E80F1A"/>
    <w:rsid w:val="00E94EE0"/>
    <w:rsid w:val="00EA12D6"/>
    <w:rsid w:val="00EA15F8"/>
    <w:rsid w:val="00EA5C97"/>
    <w:rsid w:val="00EB41AC"/>
    <w:rsid w:val="00EF1DDF"/>
    <w:rsid w:val="00F04D9F"/>
    <w:rsid w:val="00F110EC"/>
    <w:rsid w:val="00F158CF"/>
    <w:rsid w:val="00F24318"/>
    <w:rsid w:val="00F27EBA"/>
    <w:rsid w:val="00F3199F"/>
    <w:rsid w:val="00F42F5B"/>
    <w:rsid w:val="00F43B16"/>
    <w:rsid w:val="00F44574"/>
    <w:rsid w:val="00F44657"/>
    <w:rsid w:val="00F465FB"/>
    <w:rsid w:val="00F5348A"/>
    <w:rsid w:val="00F65CFF"/>
    <w:rsid w:val="00F72477"/>
    <w:rsid w:val="00F87661"/>
    <w:rsid w:val="00F87748"/>
    <w:rsid w:val="00FA367C"/>
    <w:rsid w:val="00FD62EA"/>
    <w:rsid w:val="00FD6C0F"/>
    <w:rsid w:val="00FD6F02"/>
    <w:rsid w:val="00FF36ED"/>
    <w:rsid w:val="00FF7C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B3AF02"/>
  <w15:docId w15:val="{C52C87F0-2608-4D1C-9E6B-EDCDF1704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fn,fn Char,single space,Footnote Text Char Char Char Char Char Char,Footnote Text Char1,Footnote Text Char Char,Footnote,Fußnote,FSR footnote,lábléc,FOOTNOTES,Footnote Text Char2 Char,Footnote Text Char1 Char Char"/>
    <w:basedOn w:val="a"/>
    <w:link w:val="a4"/>
    <w:unhideWhenUsed/>
    <w:rsid w:val="00807E01"/>
    <w:pPr>
      <w:spacing w:after="0" w:line="240" w:lineRule="auto"/>
    </w:pPr>
    <w:rPr>
      <w:sz w:val="20"/>
      <w:szCs w:val="20"/>
    </w:rPr>
  </w:style>
  <w:style w:type="character" w:customStyle="1" w:styleId="a4">
    <w:name w:val="טקסט הערת שוליים תו"/>
    <w:aliases w:val="Footnote Text תו,fn תו,fn Char תו,single space תו,Footnote Text Char Char Char Char Char Char תו,Footnote Text Char1 תו,Footnote Text Char Char תו,Footnote תו,Fußnote תו,FSR footnote תו,lábléc תו,FOOTNOTES תו"/>
    <w:basedOn w:val="a0"/>
    <w:link w:val="a3"/>
    <w:rsid w:val="00807E01"/>
    <w:rPr>
      <w:sz w:val="20"/>
      <w:szCs w:val="20"/>
    </w:rPr>
  </w:style>
  <w:style w:type="character" w:styleId="a5">
    <w:name w:val="footnote reference"/>
    <w:aliases w:val="טקסט הערת שוליים חדש,Footnote Reference,Footnote Reference Number,Footnote Reference_LVL6,Footnote Reference_LVL61,Footnote Reference_LVL62,Footnote Reference_LVL63,Footnote Reference_LVL64,fr,SUPERS,EN Footnote Reference,number"/>
    <w:basedOn w:val="a0"/>
    <w:unhideWhenUsed/>
    <w:rsid w:val="00807E01"/>
    <w:rPr>
      <w:vertAlign w:val="superscript"/>
    </w:rPr>
  </w:style>
  <w:style w:type="paragraph" w:styleId="a6">
    <w:name w:val="List Paragraph"/>
    <w:basedOn w:val="a"/>
    <w:link w:val="a7"/>
    <w:uiPriority w:val="34"/>
    <w:qFormat/>
    <w:rsid w:val="00626FA6"/>
    <w:pPr>
      <w:spacing w:before="120" w:after="120" w:line="360" w:lineRule="auto"/>
      <w:ind w:left="720"/>
      <w:contextualSpacing/>
      <w:jc w:val="both"/>
    </w:pPr>
    <w:rPr>
      <w:rFonts w:ascii="Times New Roman" w:eastAsia="Calibri" w:hAnsi="Times New Roman" w:cs="FrankRuehl"/>
      <w:sz w:val="24"/>
      <w:szCs w:val="26"/>
    </w:rPr>
  </w:style>
  <w:style w:type="character" w:customStyle="1" w:styleId="a7">
    <w:name w:val="פיסקת רשימה תו"/>
    <w:link w:val="a6"/>
    <w:uiPriority w:val="34"/>
    <w:locked/>
    <w:rsid w:val="00626FA6"/>
    <w:rPr>
      <w:rFonts w:ascii="Times New Roman" w:eastAsia="Calibri" w:hAnsi="Times New Roman" w:cs="FrankRuehl"/>
      <w:sz w:val="24"/>
      <w:szCs w:val="26"/>
    </w:rPr>
  </w:style>
  <w:style w:type="character" w:styleId="a8">
    <w:name w:val="annotation reference"/>
    <w:basedOn w:val="a0"/>
    <w:uiPriority w:val="99"/>
    <w:semiHidden/>
    <w:unhideWhenUsed/>
    <w:rsid w:val="00626FA6"/>
    <w:rPr>
      <w:sz w:val="16"/>
      <w:szCs w:val="16"/>
    </w:rPr>
  </w:style>
  <w:style w:type="paragraph" w:styleId="a9">
    <w:name w:val="annotation text"/>
    <w:basedOn w:val="a"/>
    <w:link w:val="aa"/>
    <w:uiPriority w:val="99"/>
    <w:semiHidden/>
    <w:unhideWhenUsed/>
    <w:rsid w:val="00626FA6"/>
    <w:pPr>
      <w:spacing w:line="240" w:lineRule="auto"/>
    </w:pPr>
    <w:rPr>
      <w:sz w:val="20"/>
      <w:szCs w:val="20"/>
    </w:rPr>
  </w:style>
  <w:style w:type="character" w:customStyle="1" w:styleId="aa">
    <w:name w:val="טקסט הערה תו"/>
    <w:basedOn w:val="a0"/>
    <w:link w:val="a9"/>
    <w:uiPriority w:val="99"/>
    <w:semiHidden/>
    <w:rsid w:val="00626FA6"/>
    <w:rPr>
      <w:sz w:val="20"/>
      <w:szCs w:val="20"/>
    </w:rPr>
  </w:style>
  <w:style w:type="paragraph" w:styleId="ab">
    <w:name w:val="annotation subject"/>
    <w:basedOn w:val="a9"/>
    <w:next w:val="a9"/>
    <w:link w:val="ac"/>
    <w:uiPriority w:val="99"/>
    <w:semiHidden/>
    <w:unhideWhenUsed/>
    <w:rsid w:val="00626FA6"/>
    <w:rPr>
      <w:b/>
      <w:bCs/>
    </w:rPr>
  </w:style>
  <w:style w:type="character" w:customStyle="1" w:styleId="ac">
    <w:name w:val="נושא הערה תו"/>
    <w:basedOn w:val="aa"/>
    <w:link w:val="ab"/>
    <w:uiPriority w:val="99"/>
    <w:semiHidden/>
    <w:rsid w:val="00626FA6"/>
    <w:rPr>
      <w:b/>
      <w:bCs/>
      <w:sz w:val="20"/>
      <w:szCs w:val="20"/>
    </w:rPr>
  </w:style>
  <w:style w:type="paragraph" w:styleId="ad">
    <w:name w:val="Balloon Text"/>
    <w:basedOn w:val="a"/>
    <w:link w:val="ae"/>
    <w:uiPriority w:val="99"/>
    <w:semiHidden/>
    <w:unhideWhenUsed/>
    <w:rsid w:val="00626FA6"/>
    <w:pPr>
      <w:spacing w:after="0" w:line="240" w:lineRule="auto"/>
    </w:pPr>
    <w:rPr>
      <w:rFonts w:ascii="Tahoma" w:hAnsi="Tahoma" w:cs="Tahoma"/>
      <w:sz w:val="18"/>
      <w:szCs w:val="18"/>
    </w:rPr>
  </w:style>
  <w:style w:type="character" w:customStyle="1" w:styleId="ae">
    <w:name w:val="טקסט בלונים תו"/>
    <w:basedOn w:val="a0"/>
    <w:link w:val="ad"/>
    <w:uiPriority w:val="99"/>
    <w:semiHidden/>
    <w:rsid w:val="00626FA6"/>
    <w:rPr>
      <w:rFonts w:ascii="Tahoma" w:hAnsi="Tahoma" w:cs="Tahoma"/>
      <w:sz w:val="18"/>
      <w:szCs w:val="18"/>
    </w:rPr>
  </w:style>
  <w:style w:type="paragraph" w:styleId="af">
    <w:name w:val="header"/>
    <w:basedOn w:val="a"/>
    <w:link w:val="af0"/>
    <w:uiPriority w:val="99"/>
    <w:unhideWhenUsed/>
    <w:rsid w:val="00724153"/>
    <w:pPr>
      <w:tabs>
        <w:tab w:val="center" w:pos="4153"/>
        <w:tab w:val="right" w:pos="8306"/>
      </w:tabs>
      <w:spacing w:after="0" w:line="240" w:lineRule="auto"/>
    </w:pPr>
  </w:style>
  <w:style w:type="character" w:customStyle="1" w:styleId="af0">
    <w:name w:val="כותרת עליונה תו"/>
    <w:basedOn w:val="a0"/>
    <w:link w:val="af"/>
    <w:uiPriority w:val="99"/>
    <w:rsid w:val="00724153"/>
  </w:style>
  <w:style w:type="paragraph" w:styleId="af1">
    <w:name w:val="footer"/>
    <w:basedOn w:val="a"/>
    <w:link w:val="af2"/>
    <w:uiPriority w:val="99"/>
    <w:unhideWhenUsed/>
    <w:rsid w:val="00724153"/>
    <w:pPr>
      <w:tabs>
        <w:tab w:val="center" w:pos="4153"/>
        <w:tab w:val="right" w:pos="8306"/>
      </w:tabs>
      <w:spacing w:after="0" w:line="240" w:lineRule="auto"/>
    </w:pPr>
  </w:style>
  <w:style w:type="character" w:customStyle="1" w:styleId="af2">
    <w:name w:val="כותרת תחתונה תו"/>
    <w:basedOn w:val="a0"/>
    <w:link w:val="af1"/>
    <w:uiPriority w:val="99"/>
    <w:rsid w:val="00724153"/>
  </w:style>
  <w:style w:type="table" w:styleId="af3">
    <w:name w:val="Table Grid"/>
    <w:basedOn w:val="a1"/>
    <w:uiPriority w:val="39"/>
    <w:rsid w:val="00F27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טבלת רשת 1 בהירה1"/>
    <w:basedOn w:val="a1"/>
    <w:uiPriority w:val="46"/>
    <w:rsid w:val="00F27EB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טבלת רשת 1 בהירה2"/>
    <w:basedOn w:val="a1"/>
    <w:uiPriority w:val="46"/>
    <w:rsid w:val="003F11A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695758">
      <w:bodyDiv w:val="1"/>
      <w:marLeft w:val="0"/>
      <w:marRight w:val="0"/>
      <w:marTop w:val="0"/>
      <w:marBottom w:val="0"/>
      <w:divBdr>
        <w:top w:val="none" w:sz="0" w:space="0" w:color="auto"/>
        <w:left w:val="none" w:sz="0" w:space="0" w:color="auto"/>
        <w:bottom w:val="none" w:sz="0" w:space="0" w:color="auto"/>
        <w:right w:val="none" w:sz="0" w:space="0" w:color="auto"/>
      </w:divBdr>
    </w:div>
    <w:div w:id="410662274">
      <w:bodyDiv w:val="1"/>
      <w:marLeft w:val="0"/>
      <w:marRight w:val="0"/>
      <w:marTop w:val="0"/>
      <w:marBottom w:val="0"/>
      <w:divBdr>
        <w:top w:val="none" w:sz="0" w:space="0" w:color="auto"/>
        <w:left w:val="none" w:sz="0" w:space="0" w:color="auto"/>
        <w:bottom w:val="none" w:sz="0" w:space="0" w:color="auto"/>
        <w:right w:val="none" w:sz="0" w:space="0" w:color="auto"/>
      </w:divBdr>
    </w:div>
    <w:div w:id="639307110">
      <w:bodyDiv w:val="1"/>
      <w:marLeft w:val="0"/>
      <w:marRight w:val="0"/>
      <w:marTop w:val="0"/>
      <w:marBottom w:val="0"/>
      <w:divBdr>
        <w:top w:val="none" w:sz="0" w:space="0" w:color="auto"/>
        <w:left w:val="none" w:sz="0" w:space="0" w:color="auto"/>
        <w:bottom w:val="none" w:sz="0" w:space="0" w:color="auto"/>
        <w:right w:val="none" w:sz="0" w:space="0" w:color="auto"/>
      </w:divBdr>
    </w:div>
    <w:div w:id="125666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mvsrvpikuah\VPIKUAH\PIKUAHJR\mehkar\&#1505;&#1511;&#1497;&#1512;&#1493;&#1514;\&#1505;&#1511;&#1497;&#1512;&#1493;&#1514;%20&#1513;&#1504;&#1514;&#1497;&#1493;&#1514;\2018\&#1500;&#1493;&#1495;&#1493;&#1514;%20&#1493;&#1488;&#1497;&#1493;&#1512;&#1497;&#1501;%20&#1500;&#1488;&#1497;&#1500;&#1504;&#1492;\&#1488;&#1497;&#1493;&#1512;&#1497;&#1501;\&#1488;&#1497;&#1493;&#1512;&#1497;&#1501;%20&#1508;&#1512;&#1511;%20&#14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mvsrvpikuah\VPIKUAH\PIKUAHJR\mehkar\&#1505;&#1511;&#1497;&#1512;&#1493;&#1514;\&#1505;&#1511;&#1497;&#1512;&#1493;&#1514;%20&#1513;&#1504;&#1514;&#1497;&#1493;&#1514;\2018\&#1500;&#1493;&#1495;&#1493;&#1514;%20&#1493;&#1488;&#1497;&#1493;&#1512;&#1497;&#1501;%20&#1500;&#1488;&#1497;&#1500;&#1504;&#1492;\&#1488;&#1497;&#1493;&#1512;&#1497;&#1501;\&#1488;&#1497;&#1493;&#1512;&#1497;&#1501;%20&#1508;&#1512;&#1511;%20&#1489;.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60" b="1" i="0" u="none" strike="noStrike" kern="1200" spc="0" baseline="0">
                <a:solidFill>
                  <a:sysClr val="windowText" lastClr="000000"/>
                </a:solidFill>
                <a:latin typeface="David" panose="020E0502060401010101" pitchFamily="34" charset="-79"/>
                <a:ea typeface="+mn-ea"/>
                <a:cs typeface="David" panose="020E0502060401010101" pitchFamily="34" charset="-79"/>
              </a:defRPr>
            </a:pPr>
            <a:r>
              <a:rPr lang="he-IL" b="1"/>
              <a:t>איור 1</a:t>
            </a:r>
          </a:p>
          <a:p>
            <a:pPr>
              <a:defRPr sz="960" b="1" i="0" u="none" strike="noStrike" kern="1200" spc="0" baseline="0">
                <a:solidFill>
                  <a:sysClr val="windowText" lastClr="000000"/>
                </a:solidFill>
                <a:latin typeface="David" panose="020E0502060401010101" pitchFamily="34" charset="-79"/>
                <a:ea typeface="+mn-ea"/>
                <a:cs typeface="David" panose="020E0502060401010101" pitchFamily="34" charset="-79"/>
              </a:defRPr>
            </a:pPr>
            <a:r>
              <a:rPr lang="he-IL" b="1"/>
              <a:t>התפלגות המעבירים חשבון עו"ש לפי מספר המוצרים הנוספים</a:t>
            </a:r>
            <a:r>
              <a:rPr lang="he-IL" b="1" baseline="30000"/>
              <a:t>1</a:t>
            </a:r>
            <a:r>
              <a:rPr lang="he-IL" b="1"/>
              <a:t> שהם</a:t>
            </a:r>
            <a:r>
              <a:rPr lang="he-IL" b="1" baseline="0"/>
              <a:t> מתחילים לצרוך בבנק החדש</a:t>
            </a:r>
            <a:r>
              <a:rPr lang="he-IL" b="1"/>
              <a:t> בתקופת פתיחת החשבון, סך המערכת הבנקאית, ממוצע 2016 עד 2018</a:t>
            </a:r>
          </a:p>
        </c:rich>
      </c:tx>
      <c:layout/>
      <c:overlay val="0"/>
      <c:spPr>
        <a:noFill/>
        <a:ln>
          <a:noFill/>
        </a:ln>
        <a:effectLst/>
      </c:spPr>
    </c:title>
    <c:autoTitleDeleted val="0"/>
    <c:plotArea>
      <c:layout>
        <c:manualLayout>
          <c:layoutTarget val="inner"/>
          <c:xMode val="edge"/>
          <c:yMode val="edge"/>
          <c:x val="5.4073250018059668E-2"/>
          <c:y val="0.23385545431206986"/>
          <c:w val="0.89699708637337761"/>
          <c:h val="0.44532570431822416"/>
        </c:manualLayout>
      </c:layout>
      <c:barChart>
        <c:barDir val="col"/>
        <c:grouping val="stacked"/>
        <c:varyColors val="0"/>
        <c:ser>
          <c:idx val="0"/>
          <c:order val="0"/>
          <c:invertIfNegative val="0"/>
          <c:dLbls>
            <c:dLbl>
              <c:idx val="0"/>
              <c:layout>
                <c:manualLayout>
                  <c:x val="0"/>
                  <c:y val="-0.1027244305493523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7F4A-4227-8966-E94A0B29E2A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'תיבה ב-1 איור 1'!$A$2:$A$3</c:f>
              <c:strCache>
                <c:ptCount val="2"/>
                <c:pt idx="0">
                  <c:v>אף מוצר מעבר לחשבון העו"ש</c:v>
                </c:pt>
                <c:pt idx="1">
                  <c:v>מעל למוצר אחד מעבר לחשבון העו"ש</c:v>
                </c:pt>
              </c:strCache>
            </c:strRef>
          </c:cat>
          <c:val>
            <c:numRef>
              <c:f>'תיבה ב-1 איור 1'!$B$2:$B$3</c:f>
              <c:numCache>
                <c:formatCode>General</c:formatCode>
                <c:ptCount val="2"/>
                <c:pt idx="0">
                  <c:v>29</c:v>
                </c:pt>
              </c:numCache>
            </c:numRef>
          </c:val>
          <c:extLst>
            <c:ext xmlns:c16="http://schemas.microsoft.com/office/drawing/2014/chart" uri="{C3380CC4-5D6E-409C-BE32-E72D297353CC}">
              <c16:uniqueId val="{00000001-7F4A-4227-8966-E94A0B29E2AD}"/>
            </c:ext>
          </c:extLst>
        </c:ser>
        <c:ser>
          <c:idx val="1"/>
          <c:order val="1"/>
          <c:tx>
            <c:strRef>
              <c:f>'תיבה ב-1 איור 1'!$C$1</c:f>
              <c:strCache>
                <c:ptCount val="1"/>
                <c:pt idx="0">
                  <c:v>מוצר אחד נוסף מעבר לחשבון העו"ש</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'תיבה ב-1 איור 1'!$C$2:$C$3</c:f>
              <c:numCache>
                <c:formatCode>General</c:formatCode>
                <c:ptCount val="2"/>
                <c:pt idx="1">
                  <c:v>39</c:v>
                </c:pt>
              </c:numCache>
            </c:numRef>
          </c:val>
          <c:extLst>
            <c:ext xmlns:c16="http://schemas.microsoft.com/office/drawing/2014/chart" uri="{C3380CC4-5D6E-409C-BE32-E72D297353CC}">
              <c16:uniqueId val="{00000002-7F4A-4227-8966-E94A0B29E2AD}"/>
            </c:ext>
          </c:extLst>
        </c:ser>
        <c:ser>
          <c:idx val="2"/>
          <c:order val="2"/>
          <c:tx>
            <c:strRef>
              <c:f>'תיבה ב-1 איור 1'!$D$1</c:f>
              <c:strCache>
                <c:ptCount val="1"/>
                <c:pt idx="0">
                  <c:v>שני מוצרים מעבר לחשבון העו"ש</c:v>
                </c:pt>
              </c:strCache>
            </c:strRef>
          </c:tx>
          <c:spPr>
            <a:solidFill>
              <a:srgbClr val="00B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'תיבה ב-1 איור 1'!$D$2:$D$3</c:f>
              <c:numCache>
                <c:formatCode>General</c:formatCode>
                <c:ptCount val="2"/>
                <c:pt idx="1">
                  <c:v>24</c:v>
                </c:pt>
              </c:numCache>
            </c:numRef>
          </c:val>
          <c:extLst>
            <c:ext xmlns:c16="http://schemas.microsoft.com/office/drawing/2014/chart" uri="{C3380CC4-5D6E-409C-BE32-E72D297353CC}">
              <c16:uniqueId val="{00000003-7F4A-4227-8966-E94A0B29E2AD}"/>
            </c:ext>
          </c:extLst>
        </c:ser>
        <c:ser>
          <c:idx val="3"/>
          <c:order val="3"/>
          <c:tx>
            <c:strRef>
              <c:f>'תיבה ב-1 איור 1'!$E$1</c:f>
              <c:strCache>
                <c:ptCount val="1"/>
                <c:pt idx="0">
                  <c:v>שלושה מוצרים מעבר לחשבון העו"ש</c:v>
                </c:pt>
              </c:strCache>
            </c:strRef>
          </c:tx>
          <c:spPr>
            <a:solidFill>
              <a:srgbClr val="FFC000"/>
            </a:solidFill>
          </c:spPr>
          <c:invertIfNegative val="0"/>
          <c:dLbls>
            <c:dLbl>
              <c:idx val="1"/>
              <c:layout>
                <c:manualLayout>
                  <c:x val="0"/>
                  <c:y val="8.932559178204554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7F4A-4227-8966-E94A0B29E2A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'תיבה ב-1 איור 1'!$E$2:$E$3</c:f>
              <c:numCache>
                <c:formatCode>General</c:formatCode>
                <c:ptCount val="2"/>
                <c:pt idx="1">
                  <c:v>7</c:v>
                </c:pt>
              </c:numCache>
            </c:numRef>
          </c:val>
          <c:extLst>
            <c:ext xmlns:c16="http://schemas.microsoft.com/office/drawing/2014/chart" uri="{C3380CC4-5D6E-409C-BE32-E72D297353CC}">
              <c16:uniqueId val="{00000005-7F4A-4227-8966-E94A0B29E2AD}"/>
            </c:ext>
          </c:extLst>
        </c:ser>
        <c:ser>
          <c:idx val="4"/>
          <c:order val="4"/>
          <c:tx>
            <c:strRef>
              <c:f>'תיבה ב-1 איור 1'!$F$1</c:f>
              <c:strCache>
                <c:ptCount val="1"/>
                <c:pt idx="0">
                  <c:v>ארבעה מוצרים מעבר לחשבון העו"ש</c:v>
                </c:pt>
              </c:strCache>
            </c:strRef>
          </c:tx>
          <c:spPr>
            <a:solidFill>
              <a:srgbClr val="8064A2"/>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'תיבה ב-1 איור 1'!$F$2:$F$3</c:f>
              <c:numCache>
                <c:formatCode>General</c:formatCode>
                <c:ptCount val="2"/>
                <c:pt idx="1">
                  <c:v>1</c:v>
                </c:pt>
              </c:numCache>
            </c:numRef>
          </c:val>
          <c:extLst>
            <c:ext xmlns:c16="http://schemas.microsoft.com/office/drawing/2014/chart" uri="{C3380CC4-5D6E-409C-BE32-E72D297353CC}">
              <c16:uniqueId val="{00000006-7F4A-4227-8966-E94A0B29E2AD}"/>
            </c:ext>
          </c:extLst>
        </c:ser>
        <c:dLbls>
          <c:showLegendKey val="0"/>
          <c:showVal val="0"/>
          <c:showCatName val="0"/>
          <c:showSerName val="0"/>
          <c:showPercent val="0"/>
          <c:showBubbleSize val="0"/>
        </c:dLbls>
        <c:gapWidth val="150"/>
        <c:overlap val="100"/>
        <c:axId val="36987264"/>
        <c:axId val="36988800"/>
      </c:barChart>
      <c:lineChart>
        <c:grouping val="standard"/>
        <c:varyColors val="0"/>
        <c:ser>
          <c:idx val="5"/>
          <c:order val="5"/>
          <c:marker>
            <c:symbol val="none"/>
          </c:marker>
          <c:dLbls>
            <c:dLbl>
              <c:idx val="1"/>
              <c:layout>
                <c:manualLayout>
                  <c:x val="-3.5609872490994059E-2"/>
                  <c:y val="-3.57302367128182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7F4A-4227-8966-E94A0B29E2AD}"/>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'תיבה ב-1 איור 1'!$G$2:$G$3</c:f>
              <c:numCache>
                <c:formatCode>General</c:formatCode>
                <c:ptCount val="2"/>
                <c:pt idx="1">
                  <c:v>71</c:v>
                </c:pt>
              </c:numCache>
            </c:numRef>
          </c:val>
          <c:smooth val="0"/>
          <c:extLst>
            <c:ext xmlns:c16="http://schemas.microsoft.com/office/drawing/2014/chart" uri="{C3380CC4-5D6E-409C-BE32-E72D297353CC}">
              <c16:uniqueId val="{00000008-7F4A-4227-8966-E94A0B29E2AD}"/>
            </c:ext>
          </c:extLst>
        </c:ser>
        <c:dLbls>
          <c:showLegendKey val="0"/>
          <c:showVal val="0"/>
          <c:showCatName val="0"/>
          <c:showSerName val="0"/>
          <c:showPercent val="0"/>
          <c:showBubbleSize val="0"/>
        </c:dLbls>
        <c:marker val="1"/>
        <c:smooth val="0"/>
        <c:axId val="36987264"/>
        <c:axId val="36988800"/>
      </c:lineChart>
      <c:catAx>
        <c:axId val="36987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crossAx val="36988800"/>
        <c:crosses val="autoZero"/>
        <c:auto val="1"/>
        <c:lblAlgn val="ctr"/>
        <c:lblOffset val="100"/>
        <c:noMultiLvlLbl val="0"/>
      </c:catAx>
      <c:valAx>
        <c:axId val="36988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800" b="1" i="0" u="none" strike="noStrike" kern="1200" baseline="0">
                    <a:solidFill>
                      <a:sysClr val="windowText" lastClr="000000"/>
                    </a:solidFill>
                    <a:latin typeface="David" panose="020E0502060401010101" pitchFamily="34" charset="-79"/>
                    <a:ea typeface="+mn-ea"/>
                    <a:cs typeface="David" panose="020E0502060401010101" pitchFamily="34" charset="-79"/>
                  </a:defRPr>
                </a:pPr>
                <a:r>
                  <a:rPr lang="he-IL" b="1"/>
                  <a:t>אחוזים</a:t>
                </a:r>
              </a:p>
            </c:rich>
          </c:tx>
          <c:layout>
            <c:manualLayout>
              <c:xMode val="edge"/>
              <c:yMode val="edge"/>
              <c:x val="2.905412876605502E-2"/>
              <c:y val="0.1708995509103121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crossAx val="36987264"/>
        <c:crosses val="autoZero"/>
        <c:crossBetween val="between"/>
      </c:valAx>
      <c:spPr>
        <a:solidFill>
          <a:schemeClr val="bg1"/>
        </a:solidFill>
        <a:ln>
          <a:solidFill>
            <a:schemeClr val="tx1"/>
          </a:solidFill>
        </a:ln>
        <a:effectLst/>
      </c:spPr>
    </c:plotArea>
    <c:legend>
      <c:legendPos val="b"/>
      <c:legendEntry>
        <c:idx val="0"/>
        <c:delete val="1"/>
      </c:legendEntry>
      <c:legendEntry>
        <c:idx val="5"/>
        <c:delete val="1"/>
      </c:legendEntry>
      <c:layout>
        <c:manualLayout>
          <c:xMode val="edge"/>
          <c:yMode val="edge"/>
          <c:x val="7.1432046603930613E-2"/>
          <c:y val="0.75462365440139545"/>
          <c:w val="0.87144415152097121"/>
          <c:h val="0.10309298653434287"/>
        </c:manualLayout>
      </c:layout>
      <c:overlay val="0"/>
      <c:spPr>
        <a:solidFill>
          <a:schemeClr val="bg1"/>
        </a:solidFill>
        <a:ln>
          <a:solidFill>
            <a:schemeClr val="tx1"/>
          </a:solidFill>
        </a:ln>
        <a:effectLst/>
      </c:spPr>
      <c:txPr>
        <a:bodyPr rot="0" spcFirstLastPara="1" vertOverflow="ellipsis" vert="horz" wrap="square" anchor="ctr" anchorCtr="1"/>
        <a:lstStyle/>
        <a:p>
          <a:pPr>
            <a:defRPr sz="800" b="0"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legend>
    <c:plotVisOnly val="1"/>
    <c:dispBlanksAs val="gap"/>
    <c:showDLblsOverMax val="0"/>
  </c:chart>
  <c:spPr>
    <a:solidFill>
      <a:srgbClr val="D4EFFC"/>
    </a:solidFill>
    <a:ln w="9525" cap="flat" cmpd="sng" algn="ctr">
      <a:solidFill>
        <a:schemeClr val="tx1">
          <a:lumMod val="15000"/>
          <a:lumOff val="85000"/>
        </a:schemeClr>
      </a:solidFill>
      <a:round/>
    </a:ln>
    <a:effectLst/>
  </c:spPr>
  <c:txPr>
    <a:bodyPr/>
    <a:lstStyle/>
    <a:p>
      <a:pPr>
        <a:defRPr sz="800">
          <a:solidFill>
            <a:sysClr val="windowText" lastClr="000000"/>
          </a:solidFill>
          <a:latin typeface="David" panose="020E0502060401010101" pitchFamily="34" charset="-79"/>
          <a:cs typeface="David" panose="020E0502060401010101" pitchFamily="34" charset="-79"/>
        </a:defRPr>
      </a:pPr>
      <a:endParaRPr lang="he-IL"/>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60" b="1" i="0" u="none" strike="noStrike" kern="1200" spc="0" baseline="0">
                <a:solidFill>
                  <a:sysClr val="windowText" lastClr="000000"/>
                </a:solidFill>
                <a:latin typeface="David" panose="020E0502060401010101" pitchFamily="34" charset="-79"/>
                <a:ea typeface="+mn-ea"/>
                <a:cs typeface="David" panose="020E0502060401010101" pitchFamily="34" charset="-79"/>
              </a:defRPr>
            </a:pPr>
            <a:r>
              <a:rPr lang="he-IL" b="1">
                <a:solidFill>
                  <a:sysClr val="windowText" lastClr="000000"/>
                </a:solidFill>
              </a:rPr>
              <a:t>איור 2</a:t>
            </a:r>
          </a:p>
          <a:p>
            <a:pPr>
              <a:defRPr sz="960" b="1" i="0" u="none" strike="noStrike" kern="1200" spc="0" baseline="0">
                <a:solidFill>
                  <a:sysClr val="windowText" lastClr="000000"/>
                </a:solidFill>
                <a:latin typeface="David" panose="020E0502060401010101" pitchFamily="34" charset="-79"/>
                <a:ea typeface="+mn-ea"/>
                <a:cs typeface="David" panose="020E0502060401010101" pitchFamily="34" charset="-79"/>
              </a:defRPr>
            </a:pPr>
            <a:r>
              <a:rPr lang="he-IL" b="1">
                <a:solidFill>
                  <a:sysClr val="windowText" lastClr="000000"/>
                </a:solidFill>
              </a:rPr>
              <a:t>התפלגות בעלי חשבון העו"ש לפי מספר</a:t>
            </a:r>
            <a:r>
              <a:rPr lang="he-IL" b="1" baseline="0">
                <a:solidFill>
                  <a:sysClr val="windowText" lastClr="000000"/>
                </a:solidFill>
              </a:rPr>
              <a:t> </a:t>
            </a:r>
            <a:r>
              <a:rPr lang="he-IL" b="1">
                <a:solidFill>
                  <a:sysClr val="windowText" lastClr="000000"/>
                </a:solidFill>
              </a:rPr>
              <a:t>הבנקים שבהם הם צורכים את המוצרים השונים</a:t>
            </a:r>
            <a:r>
              <a:rPr lang="he-IL" b="1" baseline="30000">
                <a:solidFill>
                  <a:sysClr val="windowText" lastClr="000000"/>
                </a:solidFill>
              </a:rPr>
              <a:t>1</a:t>
            </a:r>
            <a:r>
              <a:rPr lang="he-IL" b="1">
                <a:solidFill>
                  <a:sysClr val="windowText" lastClr="000000"/>
                </a:solidFill>
              </a:rPr>
              <a:t>, סך המערכת הבנקאית, יוני 2018</a:t>
            </a:r>
          </a:p>
        </c:rich>
      </c:tx>
      <c:layout/>
      <c:overlay val="0"/>
      <c:spPr>
        <a:noFill/>
        <a:ln>
          <a:noFill/>
        </a:ln>
        <a:effectLst/>
      </c:spPr>
    </c:title>
    <c:autoTitleDeleted val="0"/>
    <c:plotArea>
      <c:layout>
        <c:manualLayout>
          <c:layoutTarget val="inner"/>
          <c:xMode val="edge"/>
          <c:yMode val="edge"/>
          <c:x val="6.3859182739772202E-2"/>
          <c:y val="0.19770274281125058"/>
          <c:w val="0.89944356955380578"/>
          <c:h val="0.53628786423869967"/>
        </c:manualLayout>
      </c:layout>
      <c:barChart>
        <c:barDir val="col"/>
        <c:grouping val="stacked"/>
        <c:varyColors val="0"/>
        <c:ser>
          <c:idx val="0"/>
          <c:order val="0"/>
          <c:tx>
            <c:strRef>
              <c:f>'תיבה ב-1 איור 2'!$B$2:$B$3</c:f>
              <c:strCache>
                <c:ptCount val="2"/>
                <c:pt idx="0">
                  <c:v>60</c:v>
                </c:pt>
              </c:strCache>
            </c:strRef>
          </c:tx>
          <c:invertIfNegative val="0"/>
          <c:dLbls>
            <c:dLbl>
              <c:idx val="0"/>
              <c:layout>
                <c:manualLayout>
                  <c:x val="0"/>
                  <c:y val="-0.2527716186252771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AEB2-4974-9CB8-7857586677D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'תיבה ב-1 איור 2'!$A$2:$A$3</c:f>
              <c:strCache>
                <c:ptCount val="2"/>
                <c:pt idx="0">
                  <c:v>כל המוצרים באותו הבנק</c:v>
                </c:pt>
                <c:pt idx="1">
                  <c:v>לקוחות הצורכים מוצרים שונים בבנקים נוספים</c:v>
                </c:pt>
              </c:strCache>
            </c:strRef>
          </c:cat>
          <c:val>
            <c:numRef>
              <c:f>'תיבה ב-1 איור 2'!$B$2:$B$3</c:f>
              <c:numCache>
                <c:formatCode>General</c:formatCode>
                <c:ptCount val="2"/>
                <c:pt idx="0">
                  <c:v>60</c:v>
                </c:pt>
              </c:numCache>
            </c:numRef>
          </c:val>
          <c:extLst>
            <c:ext xmlns:c16="http://schemas.microsoft.com/office/drawing/2014/chart" uri="{C3380CC4-5D6E-409C-BE32-E72D297353CC}">
              <c16:uniqueId val="{00000001-AEB2-4974-9CB8-7857586677DA}"/>
            </c:ext>
          </c:extLst>
        </c:ser>
        <c:ser>
          <c:idx val="1"/>
          <c:order val="1"/>
          <c:tx>
            <c:strRef>
              <c:f>'תיבה ב-1 איור 2'!$C$1</c:f>
              <c:strCache>
                <c:ptCount val="1"/>
                <c:pt idx="0">
                  <c:v>צורך בבנק אחד נוסף</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'תיבה ב-1 איור 2'!$C$2:$C$3</c:f>
              <c:numCache>
                <c:formatCode>General</c:formatCode>
                <c:ptCount val="2"/>
                <c:pt idx="1">
                  <c:v>28</c:v>
                </c:pt>
              </c:numCache>
            </c:numRef>
          </c:val>
          <c:extLst>
            <c:ext xmlns:c16="http://schemas.microsoft.com/office/drawing/2014/chart" uri="{C3380CC4-5D6E-409C-BE32-E72D297353CC}">
              <c16:uniqueId val="{00000002-AEB2-4974-9CB8-7857586677DA}"/>
            </c:ext>
          </c:extLst>
        </c:ser>
        <c:ser>
          <c:idx val="2"/>
          <c:order val="2"/>
          <c:tx>
            <c:strRef>
              <c:f>'תיבה ב-1 איור 2'!$D$1</c:f>
              <c:strCache>
                <c:ptCount val="1"/>
                <c:pt idx="0">
                  <c:v>צורך בשני בנקים נוספים</c:v>
                </c:pt>
              </c:strCache>
            </c:strRef>
          </c:tx>
          <c:spPr>
            <a:solidFill>
              <a:srgbClr val="00B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'תיבה ב-1 איור 2'!$D$2:$D$3</c:f>
              <c:numCache>
                <c:formatCode>General</c:formatCode>
                <c:ptCount val="2"/>
                <c:pt idx="1">
                  <c:v>8.5</c:v>
                </c:pt>
              </c:numCache>
            </c:numRef>
          </c:val>
          <c:extLst>
            <c:ext xmlns:c16="http://schemas.microsoft.com/office/drawing/2014/chart" uri="{C3380CC4-5D6E-409C-BE32-E72D297353CC}">
              <c16:uniqueId val="{00000003-AEB2-4974-9CB8-7857586677DA}"/>
            </c:ext>
          </c:extLst>
        </c:ser>
        <c:ser>
          <c:idx val="3"/>
          <c:order val="3"/>
          <c:tx>
            <c:strRef>
              <c:f>'תיבה ב-1 איור 2'!$E$1</c:f>
              <c:strCache>
                <c:ptCount val="1"/>
                <c:pt idx="0">
                  <c:v>צורך בשלושה בנקים נוספים</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'תיבה ב-1 איור 2'!$E$2:$E$3</c:f>
              <c:numCache>
                <c:formatCode>General</c:formatCode>
                <c:ptCount val="2"/>
                <c:pt idx="1">
                  <c:v>2.5</c:v>
                </c:pt>
              </c:numCache>
            </c:numRef>
          </c:val>
          <c:extLst>
            <c:ext xmlns:c16="http://schemas.microsoft.com/office/drawing/2014/chart" uri="{C3380CC4-5D6E-409C-BE32-E72D297353CC}">
              <c16:uniqueId val="{00000004-AEB2-4974-9CB8-7857586677DA}"/>
            </c:ext>
          </c:extLst>
        </c:ser>
        <c:dLbls>
          <c:showLegendKey val="0"/>
          <c:showVal val="0"/>
          <c:showCatName val="0"/>
          <c:showSerName val="0"/>
          <c:showPercent val="0"/>
          <c:showBubbleSize val="0"/>
        </c:dLbls>
        <c:gapWidth val="150"/>
        <c:overlap val="100"/>
        <c:axId val="37103488"/>
        <c:axId val="37105024"/>
      </c:barChart>
      <c:lineChart>
        <c:grouping val="standard"/>
        <c:varyColors val="0"/>
        <c:ser>
          <c:idx val="4"/>
          <c:order val="4"/>
          <c:marker>
            <c:symbol val="none"/>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'תיבה ב-1 איור 2'!$F$2:$F$3</c:f>
              <c:numCache>
                <c:formatCode>General</c:formatCode>
                <c:ptCount val="2"/>
                <c:pt idx="1">
                  <c:v>40</c:v>
                </c:pt>
              </c:numCache>
            </c:numRef>
          </c:val>
          <c:smooth val="0"/>
          <c:extLst>
            <c:ext xmlns:c16="http://schemas.microsoft.com/office/drawing/2014/chart" uri="{C3380CC4-5D6E-409C-BE32-E72D297353CC}">
              <c16:uniqueId val="{00000005-AEB2-4974-9CB8-7857586677DA}"/>
            </c:ext>
          </c:extLst>
        </c:ser>
        <c:dLbls>
          <c:showLegendKey val="0"/>
          <c:showVal val="0"/>
          <c:showCatName val="0"/>
          <c:showSerName val="0"/>
          <c:showPercent val="0"/>
          <c:showBubbleSize val="0"/>
        </c:dLbls>
        <c:marker val="1"/>
        <c:smooth val="0"/>
        <c:axId val="37103488"/>
        <c:axId val="37105024"/>
      </c:lineChart>
      <c:catAx>
        <c:axId val="37103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crossAx val="37105024"/>
        <c:crosses val="autoZero"/>
        <c:auto val="1"/>
        <c:lblAlgn val="ctr"/>
        <c:lblOffset val="100"/>
        <c:noMultiLvlLbl val="0"/>
      </c:catAx>
      <c:valAx>
        <c:axId val="37105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800" b="1" i="0" u="none" strike="noStrike" kern="1200" baseline="0">
                    <a:solidFill>
                      <a:sysClr val="windowText" lastClr="000000"/>
                    </a:solidFill>
                    <a:latin typeface="David" panose="020E0502060401010101" pitchFamily="34" charset="-79"/>
                    <a:ea typeface="+mn-ea"/>
                    <a:cs typeface="David" panose="020E0502060401010101" pitchFamily="34" charset="-79"/>
                  </a:defRPr>
                </a:pPr>
                <a:r>
                  <a:rPr lang="he-IL" b="1">
                    <a:solidFill>
                      <a:sysClr val="windowText" lastClr="000000"/>
                    </a:solidFill>
                  </a:rPr>
                  <a:t>אחוזים</a:t>
                </a:r>
              </a:p>
            </c:rich>
          </c:tx>
          <c:layout>
            <c:manualLayout>
              <c:xMode val="edge"/>
              <c:yMode val="edge"/>
              <c:x val="2.447244094488189E-2"/>
              <c:y val="0.1245012832375997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crossAx val="37103488"/>
        <c:crosses val="autoZero"/>
        <c:crossBetween val="between"/>
      </c:valAx>
      <c:spPr>
        <a:solidFill>
          <a:schemeClr val="bg1"/>
        </a:solidFill>
        <a:ln>
          <a:solidFill>
            <a:schemeClr val="tx1"/>
          </a:solidFill>
        </a:ln>
        <a:effectLst/>
      </c:spPr>
    </c:plotArea>
    <c:legend>
      <c:legendPos val="b"/>
      <c:legendEntry>
        <c:idx val="0"/>
        <c:delete val="1"/>
      </c:legendEntry>
      <c:legendEntry>
        <c:idx val="4"/>
        <c:delete val="1"/>
      </c:legendEntry>
      <c:layout>
        <c:manualLayout>
          <c:xMode val="edge"/>
          <c:yMode val="edge"/>
          <c:x val="0.10399839071210989"/>
          <c:y val="0.80525690940517136"/>
          <c:w val="0.82042830047703885"/>
          <c:h val="6.1158580232903256E-2"/>
        </c:manualLayout>
      </c:layout>
      <c:overlay val="0"/>
      <c:spPr>
        <a:solidFill>
          <a:schemeClr val="bg1"/>
        </a:solidFill>
        <a:ln>
          <a:solidFill>
            <a:schemeClr val="tx1"/>
          </a:solidFill>
        </a:ln>
        <a:effectLst/>
      </c:spPr>
      <c:txPr>
        <a:bodyPr rot="0" spcFirstLastPara="1" vertOverflow="ellipsis" vert="horz" wrap="square" anchor="ctr" anchorCtr="1"/>
        <a:lstStyle/>
        <a:p>
          <a:pPr>
            <a:defRPr sz="800" b="0"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legend>
    <c:plotVisOnly val="1"/>
    <c:dispBlanksAs val="gap"/>
    <c:showDLblsOverMax val="0"/>
  </c:chart>
  <c:spPr>
    <a:solidFill>
      <a:srgbClr val="D4EFFC"/>
    </a:solidFill>
    <a:ln w="9525" cap="flat" cmpd="sng" algn="ctr">
      <a:solidFill>
        <a:schemeClr val="tx1">
          <a:lumMod val="15000"/>
          <a:lumOff val="85000"/>
        </a:schemeClr>
      </a:solidFill>
      <a:round/>
    </a:ln>
    <a:effectLst/>
  </c:spPr>
  <c:txPr>
    <a:bodyPr/>
    <a:lstStyle/>
    <a:p>
      <a:pPr>
        <a:defRPr sz="800">
          <a:latin typeface="David" panose="020E0502060401010101" pitchFamily="34" charset="-79"/>
          <a:cs typeface="David" panose="020E0502060401010101" pitchFamily="34" charset="-79"/>
        </a:defRPr>
      </a:pPr>
      <a:endParaRPr lang="he-IL"/>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0.26055</cdr:x>
      <cdr:y>0.22439</cdr:y>
    </cdr:from>
    <cdr:to>
      <cdr:x>0.4367</cdr:x>
      <cdr:y>0.45854</cdr:y>
    </cdr:to>
    <cdr:sp macro="" textlink="">
      <cdr:nvSpPr>
        <cdr:cNvPr id="2" name="TextBox 1"/>
        <cdr:cNvSpPr txBox="1"/>
      </cdr:nvSpPr>
      <cdr:spPr>
        <a:xfrm xmlns:a="http://schemas.openxmlformats.org/drawingml/2006/main">
          <a:off x="1352551" y="876300"/>
          <a:ext cx="914400" cy="914400"/>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endParaRPr lang="he-IL" sz="1100"/>
        </a:p>
      </cdr:txBody>
    </cdr:sp>
  </cdr:relSizeAnchor>
  <cdr:relSizeAnchor xmlns:cdr="http://schemas.openxmlformats.org/drawingml/2006/chartDrawing">
    <cdr:from>
      <cdr:x>0.00917</cdr:x>
      <cdr:y>0.84936</cdr:y>
    </cdr:from>
    <cdr:to>
      <cdr:x>1</cdr:x>
      <cdr:y>1</cdr:y>
    </cdr:to>
    <cdr:sp macro="" textlink="">
      <cdr:nvSpPr>
        <cdr:cNvPr id="4" name="TextBox 3"/>
        <cdr:cNvSpPr txBox="1"/>
      </cdr:nvSpPr>
      <cdr:spPr>
        <a:xfrm xmlns:a="http://schemas.openxmlformats.org/drawingml/2006/main">
          <a:off x="39392" y="2415193"/>
          <a:ext cx="4256383" cy="428337"/>
        </a:xfrm>
        <a:prstGeom xmlns:a="http://schemas.openxmlformats.org/drawingml/2006/main" prst="rect">
          <a:avLst/>
        </a:prstGeom>
      </cdr:spPr>
      <cdr:txBody>
        <a:bodyPr xmlns:a="http://schemas.openxmlformats.org/drawingml/2006/main" vertOverflow="clip" horzOverflow="clip" wrap="square" rtlCol="1"/>
        <a:lstStyle xmlns:a="http://schemas.openxmlformats.org/drawingml/2006/main"/>
        <a:p xmlns:a="http://schemas.openxmlformats.org/drawingml/2006/main">
          <a:pPr rtl="1"/>
          <a:r>
            <a:rPr lang="he-IL" sz="800" b="0">
              <a:solidFill>
                <a:sysClr val="windowText" lastClr="000000"/>
              </a:solidFill>
              <a:latin typeface="David" panose="020E0502060401010101" pitchFamily="34" charset="-79"/>
              <a:cs typeface="David" panose="020E0502060401010101" pitchFamily="34" charset="-79"/>
            </a:rPr>
            <a:t>1)</a:t>
          </a:r>
          <a:r>
            <a:rPr lang="he-IL" sz="800" b="0" baseline="0">
              <a:solidFill>
                <a:sysClr val="windowText" lastClr="000000"/>
              </a:solidFill>
              <a:latin typeface="David" panose="020E0502060401010101" pitchFamily="34" charset="-79"/>
              <a:cs typeface="David" panose="020E0502060401010101" pitchFamily="34" charset="-79"/>
            </a:rPr>
            <a:t> </a:t>
          </a:r>
          <a:r>
            <a:rPr lang="he-IL" sz="800" b="0">
              <a:solidFill>
                <a:sysClr val="windowText" lastClr="000000"/>
              </a:solidFill>
              <a:latin typeface="David" panose="020E0502060401010101" pitchFamily="34" charset="-79"/>
              <a:cs typeface="David" panose="020E0502060401010101" pitchFamily="34" charset="-79"/>
            </a:rPr>
            <a:t>המוצרים הנוספים אשר נבחנו במסגרת ניתוח זה הם: הלוואה לדיור, הלוואה שאינה לדיור, פיקדון ותיק ניירות ערך.</a:t>
          </a:r>
        </a:p>
        <a:p xmlns:a="http://schemas.openxmlformats.org/drawingml/2006/main">
          <a:pPr rtl="1"/>
          <a:r>
            <a:rPr lang="he-IL" sz="800" b="1">
              <a:solidFill>
                <a:sysClr val="windowText" lastClr="000000"/>
              </a:solidFill>
              <a:latin typeface="David" panose="020E0502060401010101" pitchFamily="34" charset="-79"/>
              <a:cs typeface="David" panose="020E0502060401010101" pitchFamily="34" charset="-79"/>
            </a:rPr>
            <a:t>המקור:</a:t>
          </a:r>
          <a:r>
            <a:rPr lang="he-IL" sz="800" b="0">
              <a:solidFill>
                <a:sysClr val="windowText" lastClr="000000"/>
              </a:solidFill>
              <a:latin typeface="David" panose="020E0502060401010101" pitchFamily="34" charset="-79"/>
              <a:cs typeface="David" panose="020E0502060401010101" pitchFamily="34" charset="-79"/>
            </a:rPr>
            <a:t> דיווחים לפיקוח על הבנקים ועיבודי הפיקוח על הבנקים.</a:t>
          </a:r>
        </a:p>
      </cdr:txBody>
    </cdr:sp>
  </cdr:relSizeAnchor>
</c:userShapes>
</file>

<file path=word/drawings/drawing2.xml><?xml version="1.0" encoding="utf-8"?>
<c:userShapes xmlns:c="http://schemas.openxmlformats.org/drawingml/2006/chart">
  <cdr:relSizeAnchor xmlns:cdr="http://schemas.openxmlformats.org/drawingml/2006/chartDrawing">
    <cdr:from>
      <cdr:x>0.26055</cdr:x>
      <cdr:y>0.22439</cdr:y>
    </cdr:from>
    <cdr:to>
      <cdr:x>0.4367</cdr:x>
      <cdr:y>0.45854</cdr:y>
    </cdr:to>
    <cdr:sp macro="" textlink="">
      <cdr:nvSpPr>
        <cdr:cNvPr id="2" name="TextBox 1"/>
        <cdr:cNvSpPr txBox="1"/>
      </cdr:nvSpPr>
      <cdr:spPr>
        <a:xfrm xmlns:a="http://schemas.openxmlformats.org/drawingml/2006/main">
          <a:off x="1352551" y="876300"/>
          <a:ext cx="914400" cy="914400"/>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endParaRPr lang="he-IL" sz="1100"/>
        </a:p>
      </cdr:txBody>
    </cdr:sp>
  </cdr:relSizeAnchor>
  <cdr:relSizeAnchor xmlns:cdr="http://schemas.openxmlformats.org/drawingml/2006/chartDrawing">
    <cdr:from>
      <cdr:x>0.0015</cdr:x>
      <cdr:y>0.86477</cdr:y>
    </cdr:from>
    <cdr:to>
      <cdr:x>1</cdr:x>
      <cdr:y>1</cdr:y>
    </cdr:to>
    <cdr:sp macro="" textlink="">
      <cdr:nvSpPr>
        <cdr:cNvPr id="4" name="TextBox 3"/>
        <cdr:cNvSpPr txBox="1"/>
      </cdr:nvSpPr>
      <cdr:spPr>
        <a:xfrm xmlns:a="http://schemas.openxmlformats.org/drawingml/2006/main">
          <a:off x="6724" y="2534771"/>
          <a:ext cx="4478281" cy="396389"/>
        </a:xfrm>
        <a:prstGeom xmlns:a="http://schemas.openxmlformats.org/drawingml/2006/main" prst="rect">
          <a:avLst/>
        </a:prstGeom>
      </cdr:spPr>
      <cdr:txBody>
        <a:bodyPr xmlns:a="http://schemas.openxmlformats.org/drawingml/2006/main" vertOverflow="clip" horzOverflow="clip" wrap="square" rtlCol="1"/>
        <a:lstStyle xmlns:a="http://schemas.openxmlformats.org/drawingml/2006/main"/>
        <a:p xmlns:a="http://schemas.openxmlformats.org/drawingml/2006/main">
          <a:pPr rtl="1"/>
          <a:r>
            <a:rPr lang="he-IL" sz="750" b="0">
              <a:solidFill>
                <a:sysClr val="windowText" lastClr="000000"/>
              </a:solidFill>
              <a:latin typeface="David" panose="020E0502060401010101" pitchFamily="34" charset="-79"/>
              <a:cs typeface="David" panose="020E0502060401010101" pitchFamily="34" charset="-79"/>
            </a:rPr>
            <a:t>1)</a:t>
          </a:r>
          <a:r>
            <a:rPr lang="en-US" sz="750" b="0" baseline="0">
              <a:solidFill>
                <a:sysClr val="windowText" lastClr="000000"/>
              </a:solidFill>
              <a:latin typeface="David" panose="020E0502060401010101" pitchFamily="34" charset="-79"/>
              <a:cs typeface="David" panose="020E0502060401010101" pitchFamily="34" charset="-79"/>
            </a:rPr>
            <a:t> </a:t>
          </a:r>
          <a:r>
            <a:rPr lang="he-IL" sz="750" b="0">
              <a:solidFill>
                <a:sysClr val="windowText" lastClr="000000"/>
              </a:solidFill>
              <a:latin typeface="David" panose="020E0502060401010101" pitchFamily="34" charset="-79"/>
              <a:cs typeface="David" panose="020E0502060401010101" pitchFamily="34" charset="-79"/>
            </a:rPr>
            <a:t>המוצרים הנוספים אשר נבחנו במסגרת ניתוח זה הם: חשבון עו"ש, הלוואה לדיור, הלוואה שאינה לדיור, פיקדון ותיק ניירות ערך.</a:t>
          </a:r>
        </a:p>
        <a:p xmlns:a="http://schemas.openxmlformats.org/drawingml/2006/main">
          <a:pPr rtl="1"/>
          <a:r>
            <a:rPr lang="he-IL" sz="750" b="1">
              <a:solidFill>
                <a:sysClr val="windowText" lastClr="000000"/>
              </a:solidFill>
              <a:latin typeface="David" panose="020E0502060401010101" pitchFamily="34" charset="-79"/>
              <a:cs typeface="David" panose="020E0502060401010101" pitchFamily="34" charset="-79"/>
            </a:rPr>
            <a:t>המקור:</a:t>
          </a:r>
          <a:r>
            <a:rPr lang="he-IL" sz="750" b="0">
              <a:solidFill>
                <a:sysClr val="windowText" lastClr="000000"/>
              </a:solidFill>
              <a:latin typeface="David" panose="020E0502060401010101" pitchFamily="34" charset="-79"/>
              <a:cs typeface="David" panose="020E0502060401010101" pitchFamily="34" charset="-79"/>
            </a:rPr>
            <a:t> דיווחים לפיקוח על הבנקים ועיבודי הפיקוח על הבנקים.</a:t>
          </a:r>
        </a:p>
      </cdr:txBody>
    </cdr:sp>
  </cdr:relSizeAnchor>
</c:userShape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B3084-6A49-49E2-BCA4-C768DC95C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2716</Words>
  <Characters>13583</Characters>
  <Application>Microsoft Office Word</Application>
  <DocSecurity>0</DocSecurity>
  <Lines>113</Lines>
  <Paragraphs>32</Paragraphs>
  <ScaleCrop>false</ScaleCrop>
  <HeadingPairs>
    <vt:vector size="2" baseType="variant">
      <vt:variant>
        <vt:lpstr>שם</vt:lpstr>
      </vt:variant>
      <vt:variant>
        <vt:i4>1</vt:i4>
      </vt:variant>
    </vt:vector>
  </HeadingPairs>
  <TitlesOfParts>
    <vt:vector size="1" baseType="lpstr">
      <vt:lpstr/>
    </vt:vector>
  </TitlesOfParts>
  <Company>BOI</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מירי רוזנשטוק</dc:creator>
  <cp:keywords/>
  <dc:description/>
  <cp:lastModifiedBy>מיטל רולניצקי</cp:lastModifiedBy>
  <cp:revision>3</cp:revision>
  <cp:lastPrinted>2019-05-01T07:47:00Z</cp:lastPrinted>
  <dcterms:created xsi:type="dcterms:W3CDTF">2019-05-22T08:09:00Z</dcterms:created>
  <dcterms:modified xsi:type="dcterms:W3CDTF">2019-05-22T08:17:00Z</dcterms:modified>
</cp:coreProperties>
</file>